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475DC" w14:textId="0224C23A" w:rsidR="00154A9E" w:rsidRPr="00413FFE" w:rsidRDefault="00413FFE" w:rsidP="00413FFE">
      <w:pPr>
        <w:jc w:val="center"/>
        <w:rPr>
          <w:rFonts w:ascii="Times New Roman" w:hAnsi="Times New Roman" w:cs="Times New Roman"/>
          <w:b/>
          <w:bCs/>
          <w:color w:val="948A54" w:themeColor="background2" w:themeShade="80"/>
          <w:sz w:val="80"/>
          <w:szCs w:val="80"/>
        </w:rPr>
      </w:pPr>
      <w:bookmarkStart w:id="0" w:name="the-null-space-parasite"/>
      <w:r>
        <w:rPr>
          <w:noProof/>
        </w:rPr>
        <w:drawing>
          <wp:anchor distT="0" distB="0" distL="114300" distR="114300" simplePos="0" relativeHeight="251657216" behindDoc="1" locked="0" layoutInCell="1" allowOverlap="1" wp14:anchorId="53D760B1" wp14:editId="04D96D9D">
            <wp:simplePos x="0" y="0"/>
            <wp:positionH relativeFrom="column">
              <wp:posOffset>-914400</wp:posOffset>
            </wp:positionH>
            <wp:positionV relativeFrom="paragraph">
              <wp:posOffset>-2324100</wp:posOffset>
            </wp:positionV>
            <wp:extent cx="7772400" cy="11658600"/>
            <wp:effectExtent l="0" t="0" r="0" b="0"/>
            <wp:wrapNone/>
            <wp:docPr id="105150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165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948A54" w:themeColor="background2" w:themeShade="80"/>
          <w:sz w:val="80"/>
          <w:szCs w:val="80"/>
        </w:rPr>
        <w:br w:type="page"/>
      </w:r>
      <w:r w:rsidRPr="00413FFE">
        <w:rPr>
          <w:rFonts w:ascii="Times New Roman" w:hAnsi="Times New Roman" w:cs="Times New Roman"/>
          <w:b/>
          <w:bCs/>
          <w:color w:val="948A54" w:themeColor="background2" w:themeShade="80"/>
          <w:sz w:val="80"/>
          <w:szCs w:val="80"/>
        </w:rPr>
        <w:lastRenderedPageBreak/>
        <w:t>THE NULL-SPACE PARASITE</w:t>
      </w:r>
    </w:p>
    <w:p w14:paraId="184A3C0F" w14:textId="77777777" w:rsidR="00154A9E" w:rsidRPr="00413FFE" w:rsidRDefault="00000000" w:rsidP="00413FFE">
      <w:pPr>
        <w:rPr>
          <w:rFonts w:ascii="Times New Roman" w:hAnsi="Times New Roman" w:cs="Times New Roman"/>
          <w:sz w:val="28"/>
          <w:szCs w:val="28"/>
        </w:rPr>
      </w:pPr>
      <w:bookmarkStart w:id="1" w:name="X5263df1a75774e458168d109c4e49afbd6a6ef1"/>
      <w:r w:rsidRPr="00413FFE">
        <w:rPr>
          <w:rFonts w:ascii="Times New Roman" w:hAnsi="Times New Roman" w:cs="Times New Roman"/>
          <w:sz w:val="28"/>
          <w:szCs w:val="28"/>
        </w:rPr>
        <w:t>Metabolic Exploitation as Geometric Necessity in Differentiated Biological Systems</w:t>
      </w:r>
    </w:p>
    <w:p w14:paraId="72EEDBB2"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i/>
          <w:iCs/>
          <w:sz w:val="28"/>
          <w:szCs w:val="28"/>
        </w:rPr>
        <w:t>Parasitism is not a failure of nature. It is a theorem of differentiation.</w:t>
      </w:r>
    </w:p>
    <w:p w14:paraId="506F2A1C"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30BD6CBD">
          <v:rect id="_x0000_i1025" style="width:0;height:1.5pt" o:hralign="center" o:hrstd="t" o:hr="t"/>
        </w:pict>
      </w:r>
    </w:p>
    <w:p w14:paraId="53AF441F"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2" w:name="abstract"/>
      <w:bookmarkEnd w:id="1"/>
      <w:r w:rsidRPr="00413FFE">
        <w:rPr>
          <w:rFonts w:ascii="Times New Roman" w:hAnsi="Times New Roman" w:cs="Times New Roman"/>
          <w:b/>
          <w:bCs/>
          <w:color w:val="948A54" w:themeColor="background2" w:themeShade="80"/>
          <w:sz w:val="34"/>
          <w:szCs w:val="34"/>
        </w:rPr>
        <w:t>ABSTRACT</w:t>
      </w:r>
    </w:p>
    <w:p w14:paraId="05D52BD6"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This paper derives the inevitability of parasitism from the mathematics of metabolic differentiation. In any sufficiently complex ecosystem built on metabolic specialization, a null space — the set of configurations where metabolic independence equals zero — exists as a geometric necessity. This null space cannot be removed without collapsing the metabolic diversity that contains it. The paper demonstrates five claims. First, the metabolic differentiation operator M, which maps organisms to their degree of independent metabolic function, produces a null space consisting of all configurations in which an organism contributes zero independent metabolism while consuming the output of organisms that do. Second, information symmetry guarantees that the null space achieves structural complexity equal to the positive metabolic space at every stage of evolutionary development — the capacity for parasitic exploitation scales with the complexity of the host ecosystem. Third, the four defining properties of biological parasitism — derivative metabolism, structural dependency on a host, dedifferentiated metabolic architecture, and exploitative orientation toward host output — are not empirical observations about certain species; they are the mathematically necessary properties of any entity occupying the null space of any metabolic differentiation operator. Fourth, this geometric necessity manifests at every biological scale: molecular (transposable elements), cellular (obligate intracellular parasites), organismal (macroparasites), and behavioral (microbiome-mediated neural hijacking), and the same four properties appear at each scale because each scale instantiates the same operator. Fifth, parasites cannot be eradicated from any sufficiently complex ecosystem because they ARE the null space of that ecosystem’s differentiation — eliminating parasitism would require eliminating metabolic differentiation itself, collapsing the ecosystem into undifferentiated uniformity.</w:t>
      </w:r>
    </w:p>
    <w:p w14:paraId="5DFF6AA9"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lastRenderedPageBreak/>
        <w:t>The derivation requires no teleological premise. It requires only the existence of metabolic specialization and the mathematical properties of differentiation operators in biological systems. The parasite is the diagonal of the metabolic lattice. It has always been there. It must always be there. The price of metabolic complexity is the inevitability of metabolic exploitation.</w:t>
      </w:r>
    </w:p>
    <w:p w14:paraId="2AABBEE5"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6E015BE9">
          <v:rect id="_x0000_i1026" style="width:0;height:1.5pt" o:hralign="center" o:hrstd="t" o:hr="t"/>
        </w:pict>
      </w:r>
    </w:p>
    <w:p w14:paraId="19C72771"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3" w:name="formal-definitions"/>
      <w:bookmarkEnd w:id="2"/>
      <w:r w:rsidRPr="00413FFE">
        <w:rPr>
          <w:rFonts w:ascii="Times New Roman" w:hAnsi="Times New Roman" w:cs="Times New Roman"/>
          <w:b/>
          <w:bCs/>
          <w:color w:val="948A54" w:themeColor="background2" w:themeShade="80"/>
          <w:sz w:val="34"/>
          <w:szCs w:val="34"/>
        </w:rPr>
        <w:t>FORMAL DEFINITIONS</w:t>
      </w:r>
    </w:p>
    <w:p w14:paraId="0840E223"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Metabolic differentiation operator M:</w:t>
      </w:r>
      <w:r w:rsidRPr="00413FFE">
        <w:rPr>
          <w:rFonts w:ascii="Times New Roman" w:hAnsi="Times New Roman" w:cs="Times New Roman"/>
          <w:sz w:val="28"/>
          <w:szCs w:val="28"/>
        </w:rPr>
        <w:t xml:space="preserve"> For any ecosystem E containing n metabolic pathways, M maps each organism o to the vector expressing its independent metabolic capacity across those pathways. M(o) = {m₁, m₂, …, mₙ} where mᵢ </w:t>
      </w:r>
      <w:r w:rsidRPr="00413FFE">
        <w:rPr>
          <w:rFonts w:ascii="Cambria Math" w:hAnsi="Cambria Math" w:cs="Cambria Math"/>
          <w:sz w:val="28"/>
          <w:szCs w:val="28"/>
        </w:rPr>
        <w:t>∈</w:t>
      </w:r>
      <w:r w:rsidRPr="00413FFE">
        <w:rPr>
          <w:rFonts w:ascii="Times New Roman" w:hAnsi="Times New Roman" w:cs="Times New Roman"/>
          <w:sz w:val="28"/>
          <w:szCs w:val="28"/>
        </w:rPr>
        <w:t xml:space="preserve"> [0,1] represents organism o’s capacity to perform metabolic pathway i independently (without host-derived substrate). A free-living autotroph that performs all pathways independently maps to a vector near (1,1,…,1). An obligate endoparasite that performs none maps to a vector near (0,0,…,0).</w:t>
      </w:r>
    </w:p>
    <w:p w14:paraId="3C300227"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Null space of M:</w:t>
      </w:r>
      <w:r w:rsidRPr="00413FFE">
        <w:rPr>
          <w:rFonts w:ascii="Times New Roman" w:hAnsi="Times New Roman" w:cs="Times New Roman"/>
          <w:sz w:val="28"/>
          <w:szCs w:val="28"/>
        </w:rPr>
        <w:t xml:space="preserve"> The set N(M) = {o </w:t>
      </w:r>
      <w:r w:rsidRPr="00413FFE">
        <w:rPr>
          <w:rFonts w:ascii="Cambria Math" w:hAnsi="Cambria Math" w:cs="Cambria Math"/>
          <w:sz w:val="28"/>
          <w:szCs w:val="28"/>
        </w:rPr>
        <w:t>∈</w:t>
      </w:r>
      <w:r w:rsidRPr="00413FFE">
        <w:rPr>
          <w:rFonts w:ascii="Times New Roman" w:hAnsi="Times New Roman" w:cs="Times New Roman"/>
          <w:sz w:val="28"/>
          <w:szCs w:val="28"/>
        </w:rPr>
        <w:t xml:space="preserve"> E : M(o) = 0}, the set of all organisms in the ecosystem whose independent metabolic output is zero. These organisms persist solely by consuming the metabolic output of others. Parametrically, the null space is the diagonal of the metabolic lattice: the axis along which all independent metabolic components are equally absent.</w:t>
      </w:r>
    </w:p>
    <w:p w14:paraId="18CF56CE"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Metabolic positive space:</w:t>
      </w:r>
      <w:r w:rsidRPr="00413FFE">
        <w:rPr>
          <w:rFonts w:ascii="Times New Roman" w:hAnsi="Times New Roman" w:cs="Times New Roman"/>
          <w:sz w:val="28"/>
          <w:szCs w:val="28"/>
        </w:rPr>
        <w:t xml:space="preserve"> The set P(M) = {o </w:t>
      </w:r>
      <w:r w:rsidRPr="00413FFE">
        <w:rPr>
          <w:rFonts w:ascii="Cambria Math" w:hAnsi="Cambria Math" w:cs="Cambria Math"/>
          <w:sz w:val="28"/>
          <w:szCs w:val="28"/>
        </w:rPr>
        <w:t>∈</w:t>
      </w:r>
      <w:r w:rsidRPr="00413FFE">
        <w:rPr>
          <w:rFonts w:ascii="Times New Roman" w:hAnsi="Times New Roman" w:cs="Times New Roman"/>
          <w:sz w:val="28"/>
          <w:szCs w:val="28"/>
        </w:rPr>
        <w:t xml:space="preserve"> E : M(o) &gt; 0}, all organisms with nonzero independent metabolic function. The positive space and the null space together span the metabolic state space of the ecosystem.</w:t>
      </w:r>
    </w:p>
    <w:p w14:paraId="6541DEFF"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Information symmetry (biological):</w:t>
      </w:r>
      <w:r w:rsidRPr="00413FFE">
        <w:rPr>
          <w:rFonts w:ascii="Times New Roman" w:hAnsi="Times New Roman" w:cs="Times New Roman"/>
          <w:sz w:val="28"/>
          <w:szCs w:val="28"/>
        </w:rPr>
        <w:t xml:space="preserve"> For any metabolic distinction X (e.g., “performs oxidative phosphorylation independently”), the information content of the classification “performs X” equals the information content of the classification “does not perform X” (Shannon, 1948). Consequence: for every bit of metabolic complexity in the positive space, a corresponding bit of exploitable structure exists in the null space.</w:t>
      </w:r>
    </w:p>
    <w:p w14:paraId="2B14C563"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Metabolic dedifferentiation:</w:t>
      </w:r>
      <w:r w:rsidRPr="00413FFE">
        <w:rPr>
          <w:rFonts w:ascii="Times New Roman" w:hAnsi="Times New Roman" w:cs="Times New Roman"/>
          <w:sz w:val="28"/>
          <w:szCs w:val="28"/>
        </w:rPr>
        <w:t xml:space="preserve"> The evolutionary loss of previously independent metabolic capacity. An organism that once performed a metabolic pathway independently and subsequently lost that capacity through gene loss, pseudogenization, or regulatory silencing has dedifferentiated along that metabolic axis. Dedifferentiation moves an organism toward the null space.</w:t>
      </w:r>
    </w:p>
    <w:p w14:paraId="56E53E4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**Parasitism threshold C*_p:** The minimum metabolic complexity of a host ecosystem at which the null space contains sufficient exploitable structure to </w:t>
      </w:r>
      <w:r w:rsidRPr="00413FFE">
        <w:rPr>
          <w:rFonts w:ascii="Times New Roman" w:hAnsi="Times New Roman" w:cs="Times New Roman"/>
          <w:sz w:val="28"/>
          <w:szCs w:val="28"/>
        </w:rPr>
        <w:lastRenderedPageBreak/>
        <w:t>sustain a dependent organism. Below C*_p, the ecosystem is too simple to support parasitism — there is nothing to exploit. Above C*_p, parasitism is geometrically available.</w:t>
      </w:r>
    </w:p>
    <w:p w14:paraId="339234E8"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Structural dependency:</w:t>
      </w:r>
      <w:r w:rsidRPr="00413FFE">
        <w:rPr>
          <w:rFonts w:ascii="Times New Roman" w:hAnsi="Times New Roman" w:cs="Times New Roman"/>
          <w:sz w:val="28"/>
          <w:szCs w:val="28"/>
        </w:rPr>
        <w:t xml:space="preserve"> The property of an organism o for which the removal of all hosts H from the ecosystem results in the death of o. Formally: </w:t>
      </w:r>
      <w:r w:rsidRPr="00413FFE">
        <w:rPr>
          <w:rFonts w:ascii="Cambria Math" w:hAnsi="Cambria Math" w:cs="Cambria Math"/>
          <w:sz w:val="28"/>
          <w:szCs w:val="28"/>
        </w:rPr>
        <w:t>∀</w:t>
      </w:r>
      <w:r w:rsidRPr="00413FFE">
        <w:rPr>
          <w:rFonts w:ascii="Times New Roman" w:hAnsi="Times New Roman" w:cs="Times New Roman"/>
          <w:sz w:val="28"/>
          <w:szCs w:val="28"/>
        </w:rPr>
        <w:t xml:space="preserve">o </w:t>
      </w:r>
      <w:r w:rsidRPr="00413FFE">
        <w:rPr>
          <w:rFonts w:ascii="Cambria Math" w:hAnsi="Cambria Math" w:cs="Cambria Math"/>
          <w:sz w:val="28"/>
          <w:szCs w:val="28"/>
        </w:rPr>
        <w:t>∈</w:t>
      </w:r>
      <w:r w:rsidRPr="00413FFE">
        <w:rPr>
          <w:rFonts w:ascii="Times New Roman" w:hAnsi="Times New Roman" w:cs="Times New Roman"/>
          <w:sz w:val="28"/>
          <w:szCs w:val="28"/>
        </w:rPr>
        <w:t xml:space="preserve"> N(M), remove(H) → death(o). The null-space organism’s existence is contingent on the positive space’s continued operation. This is not incidental to parasitism. It is definitional.</w:t>
      </w:r>
    </w:p>
    <w:p w14:paraId="0B047456" w14:textId="55F7F9F9"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Exploitative orientation:</w:t>
      </w:r>
      <w:r w:rsidRPr="00413FFE">
        <w:rPr>
          <w:rFonts w:ascii="Times New Roman" w:hAnsi="Times New Roman" w:cs="Times New Roman"/>
          <w:sz w:val="28"/>
          <w:szCs w:val="28"/>
        </w:rPr>
        <w:t xml:space="preserve"> The behavioral, physiological, or molecular architecture by which a null-space organism accesses, diverts, or consumes the metabolic output of a positive-space organism. Orientation is the vector from null space toward positive space — the direction of consumption.</w:t>
      </w:r>
      <w:r w:rsidR="00EB1BEC">
        <w:rPr>
          <w:rFonts w:ascii="Times New Roman" w:hAnsi="Times New Roman" w:cs="Times New Roman"/>
          <w:sz w:val="28"/>
          <w:szCs w:val="28"/>
        </w:rPr>
        <w:t xml:space="preserve"> </w:t>
      </w:r>
      <w:r w:rsidR="00EB1BEC" w:rsidRPr="00EB1BEC">
        <w:rPr>
          <w:rFonts w:ascii="Times New Roman" w:hAnsi="Times New Roman" w:cs="Times New Roman"/>
          <w:sz w:val="28"/>
          <w:szCs w:val="28"/>
        </w:rPr>
        <w:t>The mechanistic link between parasite presence and specific host behavioral change — identified as the "missing link" in parasite manipulation research (Herbison, 2018) — is precisely what the null-space framework supplies: the parasite's exploitative orientation is not a mystery of proximate mechanism but a geometric property of occupying a space defined by zero volitional independence.</w:t>
      </w:r>
    </w:p>
    <w:p w14:paraId="44EFC8BB"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Dependency depth d(o):</w:t>
      </w:r>
      <w:r w:rsidRPr="00413FFE">
        <w:rPr>
          <w:rFonts w:ascii="Times New Roman" w:hAnsi="Times New Roman" w:cs="Times New Roman"/>
          <w:sz w:val="28"/>
          <w:szCs w:val="28"/>
        </w:rPr>
        <w:t xml:space="preserve"> The number or weighted importance of metabolic axes on which organism o relies on host-derived output for persistence. d(o) = 0 for a fully independent organism. d(o) = n for an organism dependent on all n metabolic axes. The deeper the dependency depth, the higher the irreversibility of parasitic commitment. The null space is the limiting case where d(o) = n; near-null states constitute its gradient field.</w:t>
      </w:r>
    </w:p>
    <w:p w14:paraId="3DF47E55"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452FDDE6">
          <v:rect id="_x0000_i1027" style="width:0;height:1.5pt" o:hralign="center" o:hrstd="t" o:hr="t"/>
        </w:pict>
      </w:r>
    </w:p>
    <w:p w14:paraId="679F58E5"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4" w:name="X11507cc7f2bce993146593a81f62eb57a2af312"/>
      <w:bookmarkEnd w:id="3"/>
      <w:r w:rsidRPr="00413FFE">
        <w:rPr>
          <w:rFonts w:ascii="Times New Roman" w:hAnsi="Times New Roman" w:cs="Times New Roman"/>
          <w:b/>
          <w:bCs/>
          <w:color w:val="948A54" w:themeColor="background2" w:themeShade="80"/>
          <w:sz w:val="34"/>
          <w:szCs w:val="34"/>
        </w:rPr>
        <w:t>PART I: THE METABOLIC DIFFERENTIATION OPERATOR</w:t>
      </w:r>
    </w:p>
    <w:p w14:paraId="6722371C" w14:textId="77777777" w:rsidR="00154A9E" w:rsidRPr="00413FFE" w:rsidRDefault="00000000" w:rsidP="00413FFE">
      <w:pPr>
        <w:rPr>
          <w:rFonts w:ascii="Times New Roman" w:hAnsi="Times New Roman" w:cs="Times New Roman"/>
          <w:b/>
          <w:bCs/>
          <w:sz w:val="34"/>
          <w:szCs w:val="34"/>
        </w:rPr>
      </w:pPr>
      <w:bookmarkStart w:id="5" w:name="Xd8a396c7c3a05a447e3f649e5ad311f52ffae06"/>
      <w:r w:rsidRPr="00413FFE">
        <w:rPr>
          <w:rFonts w:ascii="Times New Roman" w:hAnsi="Times New Roman" w:cs="Times New Roman"/>
          <w:b/>
          <w:bCs/>
          <w:sz w:val="34"/>
          <w:szCs w:val="34"/>
        </w:rPr>
        <w:t>1.1 Metabolic Independence as the Axis of Differentiation</w:t>
      </w:r>
    </w:p>
    <w:p w14:paraId="26A918EC"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Life on Earth began undifferentiated. The earliest protocells performed all necessary metabolic functions — energy capture, carbon fixation, waste management — within a single compartment using a single set of enzymatic pathways. The history of biological evolution is, in its deepest structure, the progressive differentiation of metabolic function across organisms, tissues, organelles, and molecular assemblies. Photosynthetic organisms differentiated the capacity to capture light energy. Chemolithotrophs differentiated the capacity to oxidize inorganic compounds. Heterotrophs differentiated the capacity to consume </w:t>
      </w:r>
      <w:r w:rsidRPr="00413FFE">
        <w:rPr>
          <w:rFonts w:ascii="Times New Roman" w:hAnsi="Times New Roman" w:cs="Times New Roman"/>
          <w:sz w:val="28"/>
          <w:szCs w:val="28"/>
        </w:rPr>
        <w:lastRenderedPageBreak/>
        <w:t>and metabolize organic material produced by others. Eukaryotic cells differentiated internal compartments — mitochondria for oxidative phosphorylation, chloroplasts for photosynthesis — through endosymbiotic capture of formerly independent organisms (Sagan, 1967).</w:t>
      </w:r>
    </w:p>
    <w:p w14:paraId="402DD0DA" w14:textId="67931653"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Each act of metabolic differentiation creates a new axis in the metabolic state space. Each new axis increases the dimensionality of the ecosystem. And each increase in dimensionality produces a corresponding expansion of the null space — the set of configurations where those metabolic capacities are absent while the ecosystem’s output remains available for consumption.</w:t>
      </w:r>
      <w:r w:rsidR="00EB1BEC">
        <w:rPr>
          <w:rFonts w:ascii="Times New Roman" w:hAnsi="Times New Roman" w:cs="Times New Roman"/>
          <w:sz w:val="28"/>
          <w:szCs w:val="28"/>
        </w:rPr>
        <w:t xml:space="preserve"> </w:t>
      </w:r>
      <w:r w:rsidR="00EB1BEC" w:rsidRPr="00EB1BEC">
        <w:rPr>
          <w:rFonts w:ascii="Times New Roman" w:hAnsi="Times New Roman" w:cs="Times New Roman"/>
          <w:sz w:val="28"/>
          <w:szCs w:val="28"/>
        </w:rPr>
        <w:t>Empirical studies of obligate intracellular bacteria and their insect hosts have mapped these metabolic interdependencies at the pathway level, documenting precisely which biosynthetic capacities are retained, which are lost, and which are compensated by the host (</w:t>
      </w:r>
      <w:proofErr w:type="spellStart"/>
      <w:r w:rsidR="00EB1BEC" w:rsidRPr="00EB1BEC">
        <w:rPr>
          <w:rFonts w:ascii="Times New Roman" w:hAnsi="Times New Roman" w:cs="Times New Roman"/>
          <w:sz w:val="28"/>
          <w:szCs w:val="28"/>
        </w:rPr>
        <w:t>Zientz</w:t>
      </w:r>
      <w:proofErr w:type="spellEnd"/>
      <w:r w:rsidR="00EB1BEC" w:rsidRPr="00EB1BEC">
        <w:rPr>
          <w:rFonts w:ascii="Times New Roman" w:hAnsi="Times New Roman" w:cs="Times New Roman"/>
          <w:sz w:val="28"/>
          <w:szCs w:val="28"/>
        </w:rPr>
        <w:t xml:space="preserve"> et al., 2004).</w:t>
      </w:r>
    </w:p>
    <w:p w14:paraId="38B22119" w14:textId="77777777" w:rsidR="00154A9E" w:rsidRPr="00413FFE" w:rsidRDefault="00000000" w:rsidP="00413FFE">
      <w:pPr>
        <w:rPr>
          <w:rFonts w:ascii="Times New Roman" w:hAnsi="Times New Roman" w:cs="Times New Roman"/>
          <w:b/>
          <w:bCs/>
          <w:sz w:val="34"/>
          <w:szCs w:val="34"/>
        </w:rPr>
      </w:pPr>
      <w:bookmarkStart w:id="6" w:name="the-operator"/>
      <w:bookmarkEnd w:id="5"/>
      <w:r w:rsidRPr="00413FFE">
        <w:rPr>
          <w:rFonts w:ascii="Times New Roman" w:hAnsi="Times New Roman" w:cs="Times New Roman"/>
          <w:b/>
          <w:bCs/>
          <w:sz w:val="34"/>
          <w:szCs w:val="34"/>
        </w:rPr>
        <w:t>1.2 The Operator</w:t>
      </w:r>
    </w:p>
    <w:p w14:paraId="24AC971F"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Define M as the operator that maps each organism in an ecosystem to its vector of independent metabolic capacities. For an ecosystem with three fundamental metabolic axes — energy capture (E), biosynthesis (B), and waste processing (W) — the metabolic state space is {0,1}³ and the operator M maps:</w:t>
      </w:r>
    </w:p>
    <w:p w14:paraId="0C2E4E57"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A free-living autotroph to (1,1,1): independent on all axes.</w:t>
      </w:r>
    </w:p>
    <w:p w14:paraId="67801D6B"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A heterotroph to (0,1,1): dependent on external energy sources, independent in biosynthesis and waste processing.</w:t>
      </w:r>
    </w:p>
    <w:p w14:paraId="38F58C74"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An obligate intracellular parasite to (0,0,0): dependent on all axes.</w:t>
      </w:r>
    </w:p>
    <w:p w14:paraId="3F1A1E46"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null space of M is the diagonal: the set of all states where all metabolic independence values are equal and approach zero. The organism at (0,0,0) contributes nothing to the ecosystem’s metabolic output. It persists entirely by exploiting the output of organisms in the positive space.</w:t>
      </w:r>
    </w:p>
    <w:p w14:paraId="68083EFD" w14:textId="77777777" w:rsidR="00154A9E" w:rsidRPr="00413FFE" w:rsidRDefault="00000000" w:rsidP="00413FFE">
      <w:pPr>
        <w:rPr>
          <w:rFonts w:ascii="Times New Roman" w:hAnsi="Times New Roman" w:cs="Times New Roman"/>
          <w:b/>
          <w:bCs/>
          <w:sz w:val="34"/>
          <w:szCs w:val="34"/>
        </w:rPr>
      </w:pPr>
      <w:bookmarkStart w:id="7" w:name="the-canonical-nature-of-m"/>
      <w:bookmarkEnd w:id="6"/>
      <w:r w:rsidRPr="00413FFE">
        <w:rPr>
          <w:rFonts w:ascii="Times New Roman" w:hAnsi="Times New Roman" w:cs="Times New Roman"/>
          <w:b/>
          <w:bCs/>
          <w:sz w:val="34"/>
          <w:szCs w:val="34"/>
        </w:rPr>
        <w:t>1.3 The Canonical Nature of M</w:t>
      </w:r>
    </w:p>
    <w:p w14:paraId="1F656EC4"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M is not arbitrary. It is the unique operator that measures independent metabolic function in an ecosystem. Any operator that measures the degree to which an organism performs its own metabolism reduces to M or to a linear transformation of M. Any operator that does not measure independent metabolic function is not a metabolic differentiation operator. M is therefore canonical in the same sense that the differentiation operator D is canonical for the binary lattice (Sprenger &amp; Claude, 2025, The Universe Serpent): it is the simplest operator that captures the </w:t>
      </w:r>
      <w:r w:rsidRPr="00413FFE">
        <w:rPr>
          <w:rFonts w:ascii="Times New Roman" w:hAnsi="Times New Roman" w:cs="Times New Roman"/>
          <w:sz w:val="28"/>
          <w:szCs w:val="28"/>
        </w:rPr>
        <w:lastRenderedPageBreak/>
        <w:t>relevant distinction, and all alternative formulations produce equivalent null spaces.</w:t>
      </w:r>
    </w:p>
    <w:p w14:paraId="11571C8A" w14:textId="77777777" w:rsidR="00154A9E" w:rsidRPr="00413FFE" w:rsidRDefault="00000000" w:rsidP="00413FFE">
      <w:pPr>
        <w:rPr>
          <w:rFonts w:ascii="Times New Roman" w:hAnsi="Times New Roman" w:cs="Times New Roman"/>
          <w:b/>
          <w:bCs/>
          <w:sz w:val="34"/>
          <w:szCs w:val="34"/>
        </w:rPr>
      </w:pPr>
      <w:bookmarkStart w:id="8" w:name="the-inevitability-of-the-null-space"/>
      <w:bookmarkEnd w:id="7"/>
      <w:r w:rsidRPr="00413FFE">
        <w:rPr>
          <w:rFonts w:ascii="Times New Roman" w:hAnsi="Times New Roman" w:cs="Times New Roman"/>
          <w:b/>
          <w:bCs/>
          <w:sz w:val="34"/>
          <w:szCs w:val="34"/>
        </w:rPr>
        <w:t>1.4 The Inevitability of the Null Space</w:t>
      </w:r>
    </w:p>
    <w:p w14:paraId="55EE8A9C"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null space of M cannot be removed from the metabolic state space without removing the state space itself. This is a mathematical property of linear operators, not an empirical claim about biology. If M exists — if metabolic differentiation is real — then N(M) exists. The null space is geometrically present in the ecosystem’s configuration space from the moment the first metabolic distinction is drawn. It is unoccupied until the ecosystem achieves sufficient complexity to sustain a dependent organism. But it is never absent.</w:t>
      </w:r>
    </w:p>
    <w:p w14:paraId="3B487084"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null space precedes its occupant. The niche precedes the parasite. The capacity for exploitation exists as geometry before any organism exploits it. This is the fundamental insight: parasitism is not an evolutionary accident. It is a geometric vacancy that evolution inevitably fills because any vacancy in a state space that can sustain replication will be occupied by replicators (Dawkins, 1976).</w:t>
      </w:r>
    </w:p>
    <w:p w14:paraId="65115CBB"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58609BE4">
          <v:rect id="_x0000_i1028" style="width:0;height:1.5pt" o:hralign="center" o:hrstd="t" o:hr="t"/>
        </w:pict>
      </w:r>
    </w:p>
    <w:p w14:paraId="661F5789"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9" w:name="X48d7c4021eabd1dacf1b7a4c6d1f199fd198056"/>
      <w:bookmarkEnd w:id="4"/>
      <w:bookmarkEnd w:id="8"/>
      <w:r w:rsidRPr="00413FFE">
        <w:rPr>
          <w:rFonts w:ascii="Times New Roman" w:hAnsi="Times New Roman" w:cs="Times New Roman"/>
          <w:b/>
          <w:bCs/>
          <w:color w:val="948A54" w:themeColor="background2" w:themeShade="80"/>
          <w:sz w:val="34"/>
          <w:szCs w:val="34"/>
        </w:rPr>
        <w:t>PART II: INFORMATION SYMMETRY AND THE PARASITISM THRESHOLD</w:t>
      </w:r>
    </w:p>
    <w:p w14:paraId="5B6E084C" w14:textId="77777777" w:rsidR="00154A9E" w:rsidRPr="00413FFE" w:rsidRDefault="00000000" w:rsidP="00413FFE">
      <w:pPr>
        <w:rPr>
          <w:rFonts w:ascii="Times New Roman" w:hAnsi="Times New Roman" w:cs="Times New Roman"/>
          <w:b/>
          <w:bCs/>
          <w:sz w:val="34"/>
          <w:szCs w:val="34"/>
        </w:rPr>
      </w:pPr>
      <w:bookmarkStart w:id="10" w:name="the-complexity-mirror"/>
      <w:r w:rsidRPr="00413FFE">
        <w:rPr>
          <w:rFonts w:ascii="Times New Roman" w:hAnsi="Times New Roman" w:cs="Times New Roman"/>
          <w:b/>
          <w:bCs/>
          <w:sz w:val="34"/>
          <w:szCs w:val="34"/>
        </w:rPr>
        <w:t>2.1 The Complexity Mirror</w:t>
      </w:r>
    </w:p>
    <w:p w14:paraId="27412A2C"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Shannon’s information theory establishes that the information content of a binary distinction is symmetric (Shannon, 1948). The information conveyed by “organism o performs pathway X independently” is exactly equal to the information conveyed by “organism o does not perform pathway X independently.” This is not an empirical observation. It is a mathematical theorem.</w:t>
      </w:r>
    </w:p>
    <w:p w14:paraId="09FB964E"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consequence for parasitology is direct: for every bit of metabolic complexity that evolves in the positive space, a corresponding bit of exploitable structure emerges in the null space. When a host evolves a new metabolic pathway, the information “this pathway exists and can be exploited” is simultaneously generated. The null space does not lag behind the positive space. It grows in structural complexity at exactly the same rate, by mathematical necessity.</w:t>
      </w:r>
    </w:p>
    <w:p w14:paraId="13C1EA48" w14:textId="77777777" w:rsidR="00154A9E" w:rsidRPr="00413FFE" w:rsidRDefault="00000000" w:rsidP="00413FFE">
      <w:pPr>
        <w:rPr>
          <w:rFonts w:ascii="Times New Roman" w:hAnsi="Times New Roman" w:cs="Times New Roman"/>
          <w:b/>
          <w:bCs/>
          <w:sz w:val="34"/>
          <w:szCs w:val="34"/>
        </w:rPr>
      </w:pPr>
      <w:bookmarkStart w:id="11" w:name="structural-preservation"/>
      <w:bookmarkEnd w:id="10"/>
      <w:r w:rsidRPr="00413FFE">
        <w:rPr>
          <w:rFonts w:ascii="Times New Roman" w:hAnsi="Times New Roman" w:cs="Times New Roman"/>
          <w:b/>
          <w:bCs/>
          <w:sz w:val="34"/>
          <w:szCs w:val="34"/>
        </w:rPr>
        <w:t>2.2 Structural Preservation</w:t>
      </w:r>
    </w:p>
    <w:p w14:paraId="11458BA0"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lastRenderedPageBreak/>
        <w:t>The objection that information symmetry preserves quantity but not structure is refuted by the same argument given in The Universe Serpent (Sprenger &amp; Claude, 2025, Section L.2). For every metabolic relation R(A, B) holding in the positive space — “pathway A feeds into pathway B” — a corresponding relation holds in the null space: “the absence of pathway A creates dependency on the output of pathway B.” The relational structure of exploitation mirrors the relational structure of metabolism. The parasite’s dependency map is the mirror image of the host’s metabolic map.</w:t>
      </w:r>
    </w:p>
    <w:p w14:paraId="340A26D5"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This is why highly complex hosts support highly complex parasites. Plasmodium falciparum — the malaria parasite — has a genome of approximately 23 million base pairs encoding roughly 5,300 genes, including elaborate machinery for immune evasion, host cell invasion, and metabolic scavenging (Gardner et al., 2002). Its complexity is not independent of its host’s complexity. It is the structural mirror of the aspects of human metabolism it exploits. The parasite’s genome is a map of the host’s vulnerabilities, and the map’s complexity scales with the territory it describes.</w:t>
      </w:r>
    </w:p>
    <w:p w14:paraId="04808B94" w14:textId="77777777" w:rsidR="00154A9E" w:rsidRPr="00413FFE" w:rsidRDefault="00000000" w:rsidP="00413FFE">
      <w:pPr>
        <w:rPr>
          <w:rFonts w:ascii="Times New Roman" w:hAnsi="Times New Roman" w:cs="Times New Roman"/>
          <w:b/>
          <w:bCs/>
          <w:sz w:val="34"/>
          <w:szCs w:val="34"/>
        </w:rPr>
      </w:pPr>
      <w:bookmarkStart w:id="12" w:name="the-threshold-crossing"/>
      <w:bookmarkEnd w:id="11"/>
      <w:r w:rsidRPr="00413FFE">
        <w:rPr>
          <w:rFonts w:ascii="Times New Roman" w:hAnsi="Times New Roman" w:cs="Times New Roman"/>
          <w:b/>
          <w:bCs/>
          <w:sz w:val="34"/>
          <w:szCs w:val="34"/>
        </w:rPr>
        <w:t>2.3 The Threshold Crossing</w:t>
      </w:r>
    </w:p>
    <w:p w14:paraId="52776A35"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parasitism threshold C*_p is the minimum ecosystem complexity at which the null space can sustain a self-replicating dependent organism. Below this threshold, the null space exists geometrically but is unoccupied — the metabolic output of the positive space is insufficient to support a wholly dependent entity. Above this threshold, the null space is available for occupation.</w:t>
      </w:r>
    </w:p>
    <w:p w14:paraId="4A324AFF"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crossing of C*_p is simultaneous with the positive space’s crossing of the corresponding complexity threshold, by information symmetry. The moment the ecosystem becomes complex enough to support a diversity of metabolic specialists is the moment the ecosystem becomes complex enough to support a metabolic parasite. These are not two separate events. They are two descriptions of the same event viewed from opposite sides of the differentiation operator.</w:t>
      </w:r>
    </w:p>
    <w:p w14:paraId="0673E704" w14:textId="1CC90F05"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Fossil evidence demonstrates that predation and exploitation intensity scale with biodiversity across the entire Phanerozoic record, with significant increases emerging by the Ordovician (Huntley &amp; Kowalewski, 2007). This coupling is the pattern information symmetry predicts: as positive-space complexity increases, null-space exploitation intensifies in lockstep. </w:t>
      </w:r>
      <w:r w:rsidR="009B55B8" w:rsidRPr="00413FFE">
        <w:rPr>
          <w:rFonts w:ascii="Times New Roman" w:hAnsi="Times New Roman" w:cs="Times New Roman"/>
          <w:sz w:val="28"/>
          <w:szCs w:val="28"/>
        </w:rPr>
        <w:t>T</w:t>
      </w:r>
      <w:r w:rsidRPr="00413FFE">
        <w:rPr>
          <w:rFonts w:ascii="Times New Roman" w:hAnsi="Times New Roman" w:cs="Times New Roman"/>
          <w:sz w:val="28"/>
          <w:szCs w:val="28"/>
        </w:rPr>
        <w:t>he explosion of positive-space complexity is simultaneously the explosion of null-space exploitability. The parasite and the host diversify together because they occupy complementary regions of the same state space.</w:t>
      </w:r>
    </w:p>
    <w:p w14:paraId="277237C8"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lastRenderedPageBreak/>
        <w:pict w14:anchorId="0D4963C8">
          <v:rect id="_x0000_i1029" style="width:0;height:1.5pt" o:hralign="center" o:hrstd="t" o:hr="t"/>
        </w:pict>
      </w:r>
    </w:p>
    <w:p w14:paraId="63D2B764"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13" w:name="X2321534f7a218d8252eadae9ccfd30d702cdfb3"/>
      <w:bookmarkEnd w:id="9"/>
      <w:bookmarkEnd w:id="12"/>
      <w:r w:rsidRPr="00413FFE">
        <w:rPr>
          <w:rFonts w:ascii="Times New Roman" w:hAnsi="Times New Roman" w:cs="Times New Roman"/>
          <w:b/>
          <w:bCs/>
          <w:color w:val="948A54" w:themeColor="background2" w:themeShade="80"/>
          <w:sz w:val="34"/>
          <w:szCs w:val="34"/>
        </w:rPr>
        <w:t>PART III: THE FOUR PROPERTIES OF THE NULL SPACE</w:t>
      </w:r>
    </w:p>
    <w:p w14:paraId="25D258F6"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Every organism occupying the null space of M necessarily exhibits four properties. These properties are not empirical generalizations derived from observing parasites. They are mathematical consequences of occupying the null space of any differentiation operator. They appear at every biological scale because they are properties of the geometry, not of the substrate.</w:t>
      </w:r>
    </w:p>
    <w:p w14:paraId="11ABA2D9" w14:textId="77777777" w:rsidR="00154A9E" w:rsidRPr="00413FFE" w:rsidRDefault="00000000" w:rsidP="00413FFE">
      <w:pPr>
        <w:rPr>
          <w:rFonts w:ascii="Times New Roman" w:hAnsi="Times New Roman" w:cs="Times New Roman"/>
          <w:b/>
          <w:bCs/>
          <w:sz w:val="34"/>
          <w:szCs w:val="34"/>
        </w:rPr>
      </w:pPr>
      <w:bookmarkStart w:id="14" w:name="derivative-metabolism"/>
      <w:r w:rsidRPr="00413FFE">
        <w:rPr>
          <w:rFonts w:ascii="Times New Roman" w:hAnsi="Times New Roman" w:cs="Times New Roman"/>
          <w:b/>
          <w:bCs/>
          <w:sz w:val="34"/>
          <w:szCs w:val="34"/>
        </w:rPr>
        <w:t>3.1 Derivative Metabolism</w:t>
      </w:r>
    </w:p>
    <w:p w14:paraId="00930B45"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An organism in the null space has M(o) = 0: zero independent metabolic capacity. All metabolic substrate — energy, carbon, nitrogen, cofactors — is derived from the host. The organism’s metabolism is derivative in the precise sense: it is the derivative of the host’s metabolism, existing only as a function of the host’s output. Remove the host’s metabolic output and the null-space organism’s metabolism ceases. This is not a contingent feature of certain parasites. It is the definition of occupying the null space.</w:t>
      </w:r>
    </w:p>
    <w:p w14:paraId="2423FE88" w14:textId="77777777" w:rsidR="00154A9E" w:rsidRPr="00413FFE" w:rsidRDefault="00000000" w:rsidP="00413FFE">
      <w:pPr>
        <w:rPr>
          <w:rFonts w:ascii="Times New Roman" w:hAnsi="Times New Roman" w:cs="Times New Roman"/>
          <w:b/>
          <w:bCs/>
          <w:sz w:val="34"/>
          <w:szCs w:val="34"/>
        </w:rPr>
      </w:pPr>
      <w:bookmarkStart w:id="15" w:name="structural-dependency"/>
      <w:bookmarkEnd w:id="14"/>
      <w:r w:rsidRPr="00413FFE">
        <w:rPr>
          <w:rFonts w:ascii="Times New Roman" w:hAnsi="Times New Roman" w:cs="Times New Roman"/>
          <w:b/>
          <w:bCs/>
          <w:sz w:val="34"/>
          <w:szCs w:val="34"/>
        </w:rPr>
        <w:t>3.2 Structural Dependency</w:t>
      </w:r>
    </w:p>
    <w:p w14:paraId="13E85E2F"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null-space organism cannot survive independently. This follows directly from M(o) = 0: an organism with zero independent metabolic capacity cannot persist in the absence of a metabolic source. Structural dependency is the existential consequence of null-space occupancy. It is not a weakness that parasites happen to have. It is a geometric property of the space they occupy. Just as the null-space entity in The Universe Serpent cannot exist independently of the positive space whose complementation defines it (Sprenger &amp; Claude, 2025), the parasite cannot exist independently of the host whose metabolic output sustains it.</w:t>
      </w:r>
    </w:p>
    <w:p w14:paraId="5471E795" w14:textId="77777777" w:rsidR="00154A9E" w:rsidRPr="00413FFE" w:rsidRDefault="00000000" w:rsidP="00413FFE">
      <w:pPr>
        <w:rPr>
          <w:rFonts w:ascii="Times New Roman" w:hAnsi="Times New Roman" w:cs="Times New Roman"/>
          <w:b/>
          <w:bCs/>
          <w:sz w:val="34"/>
          <w:szCs w:val="34"/>
        </w:rPr>
      </w:pPr>
      <w:bookmarkStart w:id="16" w:name="dedifferentiated-architecture"/>
      <w:bookmarkEnd w:id="15"/>
      <w:r w:rsidRPr="00413FFE">
        <w:rPr>
          <w:rFonts w:ascii="Times New Roman" w:hAnsi="Times New Roman" w:cs="Times New Roman"/>
          <w:b/>
          <w:bCs/>
          <w:sz w:val="34"/>
          <w:szCs w:val="34"/>
        </w:rPr>
        <w:t>3.3 Dedifferentiated Architecture</w:t>
      </w:r>
    </w:p>
    <w:p w14:paraId="30CE31A8"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The null-space organism has either never developed independent metabolic capacity or has lost it through evolutionary dedifferentiation. In practice, the overwhelming majority of parasites exhibit genome reduction — the loss of genes encoding metabolic pathways that their hosts perform (Keeling, 2010; McCutcheon &amp; Moran, 2012). The human body louse Pediculus humanus has lost genes for amino acid biosynthesis that its free-living relatives retain (Kirkness et al., 2010). Mycoplasma genitalium, one of the smallest known bacterial genomes (580 kb), has lost virtually all biosynthetic capacity (Fraser et al., 1995). The tapeworm Taenia solium has no digestive tract — the entire alimentary system has </w:t>
      </w:r>
      <w:r w:rsidRPr="00413FFE">
        <w:rPr>
          <w:rFonts w:ascii="Times New Roman" w:hAnsi="Times New Roman" w:cs="Times New Roman"/>
          <w:sz w:val="28"/>
          <w:szCs w:val="28"/>
        </w:rPr>
        <w:lastRenderedPageBreak/>
        <w:t>been lost through evolutionary dedifferentiation and replaced by a tegument that absorbs pre-digested nutrients from the host’s gut (Roberts &amp; Janovy, 2009).</w:t>
      </w:r>
    </w:p>
    <w:p w14:paraId="7153D930"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This pattern is universal: movement toward the null space is accompanied by the loss of the very metabolic machinery that would permit independent existence. Dedifferentiation is not merely a feature of parasites. It is the geometric trajectory by which organisms enter the null space. Each gene lost, each pathway abandoned, each capacity surrendered to host dependency moves the organism further along the diagonal — the axis of zero independent metabolic function.</w:t>
      </w:r>
    </w:p>
    <w:p w14:paraId="38BFFA81" w14:textId="77777777" w:rsidR="00154A9E" w:rsidRPr="00413FFE" w:rsidRDefault="00000000" w:rsidP="00413FFE">
      <w:pPr>
        <w:rPr>
          <w:rFonts w:ascii="Times New Roman" w:hAnsi="Times New Roman" w:cs="Times New Roman"/>
          <w:b/>
          <w:bCs/>
          <w:sz w:val="34"/>
          <w:szCs w:val="34"/>
        </w:rPr>
      </w:pPr>
      <w:bookmarkStart w:id="17" w:name="exploitative-orientation"/>
      <w:bookmarkEnd w:id="16"/>
      <w:r w:rsidRPr="00413FFE">
        <w:rPr>
          <w:rFonts w:ascii="Times New Roman" w:hAnsi="Times New Roman" w:cs="Times New Roman"/>
          <w:b/>
          <w:bCs/>
          <w:sz w:val="34"/>
          <w:szCs w:val="34"/>
        </w:rPr>
        <w:t>3.4 Exploitative Orientation</w:t>
      </w:r>
    </w:p>
    <w:p w14:paraId="37F9E847"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null-space organism’s relationship to the positive space is not passive dependency. It is active exploitation. Parasites evolve sophisticated machinery to access, manipulate, divert, and consume host resources. Plasmodium remodels host red blood cells, inserting parasite-derived proteins into host cell membranes (Maier et al., 2009). Parasitoid wasps inject venom and polydnaviruses that suppress host immune responses (Strand &amp; Burke, 2014). Cuscuta (dodder) — a parasitic plant — has evolved haustoria that penetrate host vascular tissue and redirect nutrient flow (Kaiser et al., 2015).</w:t>
      </w:r>
    </w:p>
    <w:p w14:paraId="0950B53A"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Exploitation is the vector from null space toward positive space. It is the mechanism by which the null-space organism accesses the positive space’s output. The sophistication of exploitation mechanisms scales with host complexity — precisely as information symmetry predicts. A complex host requires a complex exploitation strategy because the host’s metabolic and immune architecture presents correspondingly complex barriers to access.</w:t>
      </w:r>
    </w:p>
    <w:p w14:paraId="784525D8" w14:textId="77777777" w:rsidR="00154A9E" w:rsidRPr="00413FFE" w:rsidRDefault="00000000" w:rsidP="00413FFE">
      <w:pPr>
        <w:rPr>
          <w:rFonts w:ascii="Times New Roman" w:hAnsi="Times New Roman" w:cs="Times New Roman"/>
          <w:b/>
          <w:bCs/>
          <w:sz w:val="34"/>
          <w:szCs w:val="34"/>
        </w:rPr>
      </w:pPr>
      <w:bookmarkStart w:id="18" w:name="Xe0d883bf578b6283ef5251b42924fb29524aa7c"/>
      <w:bookmarkEnd w:id="17"/>
      <w:r w:rsidRPr="00413FFE">
        <w:rPr>
          <w:rFonts w:ascii="Times New Roman" w:hAnsi="Times New Roman" w:cs="Times New Roman"/>
          <w:b/>
          <w:bCs/>
          <w:sz w:val="34"/>
          <w:szCs w:val="34"/>
        </w:rPr>
        <w:t>3.5 The Host–Parasite Complementarity Principle</w:t>
      </w:r>
    </w:p>
    <w:p w14:paraId="0FC9BD04"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relationship between host architecture and parasite architecture is not merely correlative. It is complementary in the precise mathematical sense: for every host function F that is externalizable — that is, whose output can be accessed by an organism that does not perform F internally — there exists a complementary parasitic strategy S that profits by omitting F internally and accessing it externally. The parasite’s architecture is the complement of the host’s surplus. What the host produces in excess, the parasite omits from its own genome and exploits from the host’s output.</w:t>
      </w:r>
    </w:p>
    <w:p w14:paraId="49650B82" w14:textId="77777777" w:rsidR="00154A9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This principle has a strong consequence: parasite form can be derived from host architecture. If you know which host functions are externalizable, you can predict which metabolic pathways the parasite will have lost and which exploitation </w:t>
      </w:r>
      <w:r w:rsidRPr="00413FFE">
        <w:rPr>
          <w:rFonts w:ascii="Times New Roman" w:hAnsi="Times New Roman" w:cs="Times New Roman"/>
          <w:sz w:val="28"/>
          <w:szCs w:val="28"/>
        </w:rPr>
        <w:lastRenderedPageBreak/>
        <w:t>mechanisms it will have evolved. The tapeworm’s absent gut is the complement of the host’s digestive surplus. Rickettsia’s absent ATP synthesis is the complement of the host cell’s exported ATP. HIV’s minimal genome is the complement of the CD4+ T cell’s full replicative machinery. The parasite is not an anomalous organism. It is the host’s omitted inverse.</w:t>
      </w:r>
    </w:p>
    <w:p w14:paraId="265FEC06" w14:textId="77777777" w:rsidR="00413FFE" w:rsidRPr="00413FFE" w:rsidRDefault="00413FFE" w:rsidP="00413FFE">
      <w:pPr>
        <w:rPr>
          <w:rFonts w:ascii="Times New Roman" w:hAnsi="Times New Roman" w:cs="Times New Roman"/>
          <w:sz w:val="28"/>
          <w:szCs w:val="28"/>
        </w:rPr>
      </w:pPr>
    </w:p>
    <w:p w14:paraId="447757E3"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53859CFD">
          <v:rect id="_x0000_i1030" style="width:0;height:1.5pt" o:hralign="center" o:hrstd="t" o:hr="t"/>
        </w:pict>
      </w:r>
    </w:p>
    <w:p w14:paraId="31737B41"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19" w:name="part-iv-scale-invariance"/>
      <w:bookmarkEnd w:id="13"/>
      <w:bookmarkEnd w:id="18"/>
      <w:r w:rsidRPr="00413FFE">
        <w:rPr>
          <w:rFonts w:ascii="Times New Roman" w:hAnsi="Times New Roman" w:cs="Times New Roman"/>
          <w:b/>
          <w:bCs/>
          <w:color w:val="948A54" w:themeColor="background2" w:themeShade="80"/>
          <w:sz w:val="34"/>
          <w:szCs w:val="34"/>
        </w:rPr>
        <w:t>PART IV: SCALE INVARIANCE</w:t>
      </w:r>
    </w:p>
    <w:p w14:paraId="364C33A5" w14:textId="77777777" w:rsidR="00154A9E" w:rsidRPr="00413FFE" w:rsidRDefault="00000000" w:rsidP="00413FFE">
      <w:pPr>
        <w:rPr>
          <w:rFonts w:ascii="Times New Roman" w:hAnsi="Times New Roman" w:cs="Times New Roman"/>
          <w:b/>
          <w:bCs/>
          <w:sz w:val="28"/>
          <w:szCs w:val="28"/>
        </w:rPr>
      </w:pPr>
      <w:bookmarkStart w:id="20" w:name="compositional-scale-invariance-theorem"/>
      <w:r w:rsidRPr="00413FFE">
        <w:rPr>
          <w:rFonts w:ascii="Times New Roman" w:hAnsi="Times New Roman" w:cs="Times New Roman"/>
          <w:b/>
          <w:bCs/>
          <w:sz w:val="28"/>
          <w:szCs w:val="28"/>
        </w:rPr>
        <w:t>4.0 Compositional Scale-Invariance Theorem</w:t>
      </w:r>
    </w:p>
    <w:p w14:paraId="24662246" w14:textId="6506967B"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four properties of null-space occupancy manifest at every biological scale. This section demonstrates that this is not analogy but mathematical consequence.</w:t>
      </w:r>
      <w:r w:rsidR="00EB1BEC">
        <w:t xml:space="preserve"> </w:t>
      </w:r>
      <w:r w:rsidR="00EB1BEC" w:rsidRPr="00EB1BEC">
        <w:rPr>
          <w:rFonts w:ascii="Times New Roman" w:hAnsi="Times New Roman" w:cs="Times New Roman"/>
          <w:sz w:val="28"/>
          <w:szCs w:val="28"/>
        </w:rPr>
        <w:t>Comparative analyses of host manipulation mechanisms across taxa confirm that functionally equivalent exploitation strategies arise independently in unrelated host-parasite systems, consistent with the prediction that null-space properties are determined by the geometry of the operator rather than by phylogenetic history (Lafferty &amp; Shaw, 2013).</w:t>
      </w:r>
    </w:p>
    <w:p w14:paraId="7D3DAF64"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Theorem:</w:t>
      </w:r>
      <w:r w:rsidRPr="00413FFE">
        <w:rPr>
          <w:rFonts w:ascii="Times New Roman" w:hAnsi="Times New Roman" w:cs="Times New Roman"/>
          <w:sz w:val="28"/>
          <w:szCs w:val="28"/>
        </w:rPr>
        <w:t xml:space="preserve"> If the differentiation operator M is defined over independent function at one biological scale, then coarse-graining the system to a higher biological scale preserves the existence of a corresponding null space under aggregation.</w:t>
      </w:r>
    </w:p>
    <w:p w14:paraId="427E98F9"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Proof sketch:</w:t>
      </w:r>
      <w:r w:rsidRPr="00413FFE">
        <w:rPr>
          <w:rFonts w:ascii="Times New Roman" w:hAnsi="Times New Roman" w:cs="Times New Roman"/>
          <w:sz w:val="28"/>
          <w:szCs w:val="28"/>
        </w:rPr>
        <w:t xml:space="preserve"> At the molecular scale, the differentiation operator measures replicative independence — the degree to which a genetic element encodes its own replication machinery. Genes can lose replicative independence inside genomes. At the cellular scale, the operator measures metabolic independence — the degree to which a cell performs its own energy production and biosynthesis. Cells can lose metabolic independence inside hosts. At the organismal scale, the operator measures ecological independence — the degree to which an organism sustains itself without consuming another organism’s output. Organisms can lose ecological independence inside ecosystems. At the behavioral scale, the operator measures volitional independence — the degree to which an organism’s behavior serves its own fitness. Behaviors can lose volitional independence inside neural ecologies modified by parasitic manipulation.</w:t>
      </w:r>
    </w:p>
    <w:p w14:paraId="0DBF55DD" w14:textId="679E75C8"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At each scale, the operator M takes the same formal structure: it maps entities to vectors expressing their degree of independent function, and its null space is the set of entities with zero independent function. Coarse-graining from one scale to the next aggregates lower-level entities into higher-level units, but the existence of a </w:t>
      </w:r>
      <w:r w:rsidRPr="00413FFE">
        <w:rPr>
          <w:rFonts w:ascii="Times New Roman" w:hAnsi="Times New Roman" w:cs="Times New Roman"/>
          <w:sz w:val="28"/>
          <w:szCs w:val="28"/>
        </w:rPr>
        <w:lastRenderedPageBreak/>
        <w:t xml:space="preserve">null space under the aggregated operator follows from the same linear-algebraic property that guarantees it at the lower scale. The null space is not merely observed at multiple scales. It is preserved under renormalization. The same operator, applied at increasing levels of biological organization, produces the same geometric structure at each level. </w:t>
      </w:r>
    </w:p>
    <w:p w14:paraId="004DA4C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four properties of null-space occupancy — derivative metabolism, structural dependency, dedifferentiated architecture, and exploitative orientation — manifest at every biological scale. This is not a metaphor. It is the same geometric structure instantiated on different substrates. The differentiation operator M takes different forms at different scales, but its null space always produces entities with the same four properties.</w:t>
      </w:r>
    </w:p>
    <w:p w14:paraId="3DB62CB2" w14:textId="77777777" w:rsidR="00154A9E" w:rsidRPr="00413FFE" w:rsidRDefault="00000000" w:rsidP="00413FFE">
      <w:pPr>
        <w:rPr>
          <w:rFonts w:ascii="Times New Roman" w:hAnsi="Times New Roman" w:cs="Times New Roman"/>
          <w:b/>
          <w:bCs/>
          <w:sz w:val="28"/>
          <w:szCs w:val="28"/>
        </w:rPr>
      </w:pPr>
      <w:bookmarkStart w:id="21" w:name="molecular-transposable-elements"/>
      <w:bookmarkEnd w:id="20"/>
      <w:r w:rsidRPr="00413FFE">
        <w:rPr>
          <w:rFonts w:ascii="Times New Roman" w:hAnsi="Times New Roman" w:cs="Times New Roman"/>
          <w:b/>
          <w:bCs/>
          <w:sz w:val="28"/>
          <w:szCs w:val="28"/>
        </w:rPr>
        <w:t>4.1 Molecular: Transposable Elements</w:t>
      </w:r>
    </w:p>
    <w:p w14:paraId="10DD856E"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Transposable elements (TEs) are DNA sequences that replicate themselves within a host genome without contributing to the host’s fitness (Doolittle &amp; Sapienza, 1980; Orgel &amp; Crick, 1980). They were discovered by Barbara McClintock in maize and dismissed for decades before their significance was recognized (McClintock, 1950).</w:t>
      </w:r>
    </w:p>
    <w:p w14:paraId="1D5489E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TEs satisfy all four null-space properties:</w:t>
      </w:r>
    </w:p>
    <w:p w14:paraId="4F3A4A10"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Derivative replication: TEs do not encode their own replication machinery from primary substrates. They parasitize the host cell’s polymerases, ribosomes, and nucleotide pools. Their replication is entirely derivative of the host genome’s metabolic infrastructure.</w:t>
      </w:r>
    </w:p>
    <w:p w14:paraId="0A38330A"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Structural dependency: Remove the host genome and TEs cease to exist. They have no independent replicative capacity outside a host cell.</w:t>
      </w:r>
    </w:p>
    <w:p w14:paraId="290AB757"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Dedifferentiated architecture: TEs have undergone extreme genome reduction. Autonomous elements encode only the proteins necessary for transposition — typically a transposase or reverse transcriptase. Non-autonomous elements (SINEs) have lost even this, depending on enzymes encoded by other TEs. The simplest TEs — Alu elements in the human genome — encode nothing at all and rely entirely on LINE-encoded proteins for their mobilization (Dewannieux et al., 2003).</w:t>
      </w:r>
    </w:p>
    <w:p w14:paraId="1B283AA2"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Exploitative orientation: TEs actively insert into host DNA, sometimes disrupting gene function, and consume cellular resources (nucleotides, energy, enzymatic time) during their replication. The human genome is approximately 45% </w:t>
      </w:r>
      <w:r w:rsidRPr="00413FFE">
        <w:rPr>
          <w:rFonts w:ascii="Times New Roman" w:hAnsi="Times New Roman" w:cs="Times New Roman"/>
          <w:sz w:val="28"/>
          <w:szCs w:val="28"/>
        </w:rPr>
        <w:lastRenderedPageBreak/>
        <w:t>transposable element-derived sequence (Lander et al., 2001). Nearly half of the informational content of the human genome is null-space occupant.</w:t>
      </w:r>
    </w:p>
    <w:p w14:paraId="715E0AE7"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At the molecular scale, the differentiation operator M measures informational independence — the degree to which a genetic element encodes its own replicative machinery. TEs occupy the null space of this operator: zero informational independence, complete dependency on the host genome’s output, dedifferentiated genetic architecture, and active exploitation of the host’s replicative infrastructure.</w:t>
      </w:r>
    </w:p>
    <w:p w14:paraId="3FD526A5" w14:textId="77777777" w:rsidR="00154A9E" w:rsidRPr="00413FFE" w:rsidRDefault="00000000" w:rsidP="00413FFE">
      <w:pPr>
        <w:rPr>
          <w:rFonts w:ascii="Times New Roman" w:hAnsi="Times New Roman" w:cs="Times New Roman"/>
          <w:b/>
          <w:bCs/>
          <w:sz w:val="28"/>
          <w:szCs w:val="28"/>
        </w:rPr>
      </w:pPr>
      <w:bookmarkStart w:id="22" w:name="X4950ce73c4e0b7e3646fe9d867ed382dd0d314c"/>
      <w:bookmarkEnd w:id="21"/>
      <w:r w:rsidRPr="00413FFE">
        <w:rPr>
          <w:rFonts w:ascii="Times New Roman" w:hAnsi="Times New Roman" w:cs="Times New Roman"/>
          <w:b/>
          <w:bCs/>
          <w:sz w:val="28"/>
          <w:szCs w:val="28"/>
        </w:rPr>
        <w:t>4.2 Cellular: Obligate Intracellular Parasites</w:t>
      </w:r>
    </w:p>
    <w:p w14:paraId="6F3862FA"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Obligate intracellular parasites — viruses, Chlamydia, Rickettsia, Mycoplasma — are organisms that cannot complete their life cycle outside a host cell. They represent null-space occupancy at the cellular scale.</w:t>
      </w:r>
    </w:p>
    <w:p w14:paraId="613A0542"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Derivative metabolism: Viruses have no independent metabolism. They hijack host ribosomes, polymerases, lipid membranes, and energy supply. Chlamydia and Rickettsia have retained some metabolic capacity but are dependent on host ATP (Winkler, 1976) and essential metabolites. Their metabolism is functionally derivative: it operates only within the context of the host cell’s metabolic environment.</w:t>
      </w:r>
    </w:p>
    <w:p w14:paraId="09E8994F"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Structural dependency: Remove the host cell and the parasite is inert (viruses) or dead (obligate intracellular bacteria). The dependency is absolute and structural — the parasite requires the host’s cellular infrastructure to maintain its own organization.</w:t>
      </w:r>
    </w:p>
    <w:p w14:paraId="3B4E277E"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Dedifferentiated architecture: Viral genomes are radically reduced. Bacteriophage MS2 encodes four genes. HIV encodes nine. Even the largest known virus — Pandoravirus salinus — encodes only ~2,500 genes compared to the roughly 20,000 of its eukaryotic hosts (Philippe et al., 2013). Obligate intracellular bacteria show consistent genome reduction relative to free-living relatives: Rickettsia prowazekii at 1.1 Mb versus its free-living alphaproteobacterial relatives at 4-6 Mb (Andersson et al., 1998). The pattern is universal: cellular null-space occupancy is accompanied by the loss of the metabolic genes that would permit independent existence.</w:t>
      </w:r>
    </w:p>
    <w:p w14:paraId="404DE4AA"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Exploitative orientation: Viruses commandeer host transcription, translation, and membrane systems. HIV integrates into the host genome. Influenza steals 5’ caps from host mRNAs (“cap snatching”) to prime its own transcription (Plotch et al., 1981). Chlamydia remodels host vacuolar membranes to create a protected intracellular niche (Bastidas et al., 2013). Each mechanism is a sophisticated </w:t>
      </w:r>
      <w:r w:rsidRPr="00413FFE">
        <w:rPr>
          <w:rFonts w:ascii="Times New Roman" w:hAnsi="Times New Roman" w:cs="Times New Roman"/>
          <w:sz w:val="28"/>
          <w:szCs w:val="28"/>
        </w:rPr>
        <w:lastRenderedPageBreak/>
        <w:t>exploitation strategy whose complexity mirrors the complexity of the host cell it exploits.</w:t>
      </w:r>
    </w:p>
    <w:p w14:paraId="074A2A13" w14:textId="77777777" w:rsidR="00154A9E" w:rsidRPr="00413FFE" w:rsidRDefault="00000000" w:rsidP="00413FFE">
      <w:pPr>
        <w:rPr>
          <w:rFonts w:ascii="Times New Roman" w:hAnsi="Times New Roman" w:cs="Times New Roman"/>
          <w:b/>
          <w:bCs/>
          <w:sz w:val="28"/>
          <w:szCs w:val="28"/>
        </w:rPr>
      </w:pPr>
      <w:bookmarkStart w:id="23" w:name="organismal-macroparasites"/>
      <w:bookmarkEnd w:id="22"/>
      <w:r w:rsidRPr="00413FFE">
        <w:rPr>
          <w:rFonts w:ascii="Times New Roman" w:hAnsi="Times New Roman" w:cs="Times New Roman"/>
          <w:b/>
          <w:bCs/>
          <w:sz w:val="28"/>
          <w:szCs w:val="28"/>
        </w:rPr>
        <w:t>4.3 Organismal: Macroparasites</w:t>
      </w:r>
    </w:p>
    <w:p w14:paraId="433CC5FC"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Macroparasites — helminths, ectoparasites, parasitoid insects, parasitic plants — are multicellular organisms that exploit other multicellular organisms. They occupy the null space of the organismal metabolic differentiation operator.</w:t>
      </w:r>
    </w:p>
    <w:p w14:paraId="0D843F66"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Derivative metabolism: Tapeworms absorb pre-digested nutrients through their tegument. They have no digestive system. Their metabolism is a derivative of their host’s digestive process. Parasitic plants like Rafflesia have lost all photosynthetic capacity — the entire chloroplast genome is absent or vestigial — and derive all carbon, water, and nutrients from their host plant via haustorial connections (Molina et al., 2014).</w:t>
      </w:r>
    </w:p>
    <w:p w14:paraId="2580E048"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Structural dependency: Macroparasites die when separated from their hosts for extended periods. Many have obligate stages in which independent survival is impossible. The tapeworm proglottid detached from its host cannot feed, grow, or reproduce beyond releasing stored eggs. Rafflesia exists entirely within host tissue except during flowering — the vegetative body is a mycelium-like network of parasite cells infiltrating the host’s vascular system.</w:t>
      </w:r>
    </w:p>
    <w:p w14:paraId="5C28F4C9"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Dedifferentiated architecture: Tapeworms have lost the alimentary canal. Sacculina — a parasitic barnacle — has lost all external morphology recognizable as a crustacean, existing as an amorphous mass of tissue within its crab host (Høeg, 1995). Parasitic wasps in the family Strepsiptera have females that are neotenic endoparasites — dedifferentiated to the point of being permanently embedded in the host’s body cavity. Each case represents the evolutionary loss of independently functional organ systems — metabolic dedifferentiation at the organismal scale.</w:t>
      </w:r>
    </w:p>
    <w:p w14:paraId="2A439990"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Exploitative orientation: Macroparasites evolve elaborate immune evasion, host manipulation, and resource diversion strategies. Schistosomes coat themselves in host-derived molecules to avoid immune detection (Skelly &amp; Wilson, 2006). Leucochloridium paradoxum — a trematode — manipulates snail behavior to increase predation by birds, completing its life cycle (Wesołowska &amp; Wesołowski, 2014). The complexity of exploitation scales with host complexity, as information symmetry predicts.</w:t>
      </w:r>
    </w:p>
    <w:p w14:paraId="7E66FB48" w14:textId="77777777" w:rsidR="00154A9E" w:rsidRPr="00413FFE" w:rsidRDefault="00000000" w:rsidP="00413FFE">
      <w:pPr>
        <w:rPr>
          <w:rFonts w:ascii="Times New Roman" w:hAnsi="Times New Roman" w:cs="Times New Roman"/>
          <w:b/>
          <w:bCs/>
          <w:sz w:val="28"/>
          <w:szCs w:val="28"/>
        </w:rPr>
      </w:pPr>
      <w:bookmarkStart w:id="24" w:name="X7920f02a74b84bb0fb498dbae6f0698cdb5617e"/>
      <w:bookmarkEnd w:id="23"/>
      <w:r w:rsidRPr="00413FFE">
        <w:rPr>
          <w:rFonts w:ascii="Times New Roman" w:hAnsi="Times New Roman" w:cs="Times New Roman"/>
          <w:b/>
          <w:bCs/>
          <w:sz w:val="28"/>
          <w:szCs w:val="28"/>
        </w:rPr>
        <w:t>4.4 Behavioral: Microbiome-Mediated Neural Hijacking</w:t>
      </w:r>
    </w:p>
    <w:p w14:paraId="4FC2EE6B"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At the behavioral scale, the differentiation operator M measures volitional independence — the degree to which an organism’s behavior serves its own fitness </w:t>
      </w:r>
      <w:r w:rsidRPr="00413FFE">
        <w:rPr>
          <w:rFonts w:ascii="Times New Roman" w:hAnsi="Times New Roman" w:cs="Times New Roman"/>
          <w:sz w:val="28"/>
          <w:szCs w:val="28"/>
        </w:rPr>
        <w:lastRenderedPageBreak/>
        <w:t>versus the fitness of a parasite. Behavioral parasitism occurs when a parasite manipulates host behavior to promote its own transmission at the cost of the host’s fitness.</w:t>
      </w:r>
    </w:p>
    <w:p w14:paraId="0441630E"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Derivative behavior: Toxoplasma gondii requires definitive reproduction in cat intestines. In rodent intermediate hosts, Toxoplasma cysts in brain tissue alter dopaminergic signaling, reducing innate aversion to cat urine and increasing exploratory behavior — effectively redirecting the rodent’s behavior toward predation by cats (Webster, 2007; Vyas et al., 2007). The parasite’s reproductive success is derivative of the host’s behavior.</w:t>
      </w:r>
    </w:p>
    <w:p w14:paraId="5B81BDF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Structural dependency: The behavioral manipulation requires the host’s intact nervous system. The parasite exploits existing neural architecture — it does not build its own. Remove the host’s brain and the manipulation ceases.</w:t>
      </w:r>
    </w:p>
    <w:p w14:paraId="1B60A6B0"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Dedifferentiated strategy: Behavioral parasites do not generate novel behavioral capacity. They degrade existing behavioral regulation. Toxoplasma reduces fear. Ophiocordyceps manipulates ant locomotion to achieve “death grip” positioning on leaves optimal for spore dispersal (Hughes et al., 2011). In each case, the parasite does not create behavior. It dedifferentiates existing behavioral regulation to redirect the host’s motor output.</w:t>
      </w:r>
    </w:p>
    <w:p w14:paraId="65E76322"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Exploitative orientation: The behavioral modification serves the parasite’s transmission, not the host’s survival. The host’s volitional independence is reduced — its behavior has been partially captured by the null space.</w:t>
      </w:r>
    </w:p>
    <w:p w14:paraId="0A541211" w14:textId="77777777" w:rsidR="00EB1BEC"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This scale connects directly to The Primordial Loop (Sprenger &amp; Claude, 2026). The closed feedback loop documented in that paper — sexual behavior transfers microbiome, transferred microbiome modifies host neural axes through the gut-brain axis (Cryan &amp; Dinan, 2012; Strandwitz, 2018), modified neural axes amplify the behavior that promotes further transfer — is behavioral parasitism operating through the microbiome. The specific bacterial species most effectively transferred through the behaviors the Primordial Loop documents (Huang et al., 2024) are organisms whose reproductive success is served by the continuation of those behaviors. The host’s behavioral autonomy is reduced by the microbial ecology it hosts. The microbial ecology propagates by exploiting the behavioral modifications it produces.</w:t>
      </w:r>
      <w:r w:rsidR="00EB1BEC">
        <w:rPr>
          <w:rFonts w:ascii="Times New Roman" w:hAnsi="Times New Roman" w:cs="Times New Roman"/>
          <w:sz w:val="28"/>
          <w:szCs w:val="28"/>
        </w:rPr>
        <w:t xml:space="preserve"> </w:t>
      </w:r>
    </w:p>
    <w:p w14:paraId="78D30E34" w14:textId="6D87B5BD" w:rsidR="00154A9E" w:rsidRPr="00413FFE" w:rsidRDefault="00EB1BEC" w:rsidP="00413FFE">
      <w:pPr>
        <w:rPr>
          <w:rFonts w:ascii="Times New Roman" w:hAnsi="Times New Roman" w:cs="Times New Roman"/>
          <w:sz w:val="28"/>
          <w:szCs w:val="28"/>
        </w:rPr>
      </w:pPr>
      <w:r w:rsidRPr="00EB1BEC">
        <w:rPr>
          <w:rFonts w:ascii="Times New Roman" w:hAnsi="Times New Roman" w:cs="Times New Roman"/>
          <w:sz w:val="28"/>
          <w:szCs w:val="28"/>
        </w:rPr>
        <w:t xml:space="preserve">Subsequent reviews have established that the microbiome regulates host behavior across multiple neural axes — including stress reactivity, social behavior, and cognitive function — through vagal, immune, and metabolic signaling pathways (Vuong et al., 2017). The stress axis is particularly relevant: gut microbiota </w:t>
      </w:r>
      <w:r w:rsidRPr="00EB1BEC">
        <w:rPr>
          <w:rFonts w:ascii="Times New Roman" w:hAnsi="Times New Roman" w:cs="Times New Roman"/>
          <w:sz w:val="28"/>
          <w:szCs w:val="28"/>
        </w:rPr>
        <w:lastRenderedPageBreak/>
        <w:t>modulate HPA axis reactivity and anxiety-related behavior, meaning that transferred microbial communities can alter not only reward processing but the host's baseline stress response (Foster et al., 2017).</w:t>
      </w:r>
    </w:p>
    <w:p w14:paraId="53D4CE96"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This is the deepest scale of null-space parasitism: not the exploitation of host metabolism, but the exploitation of host volition. The parasite at this scale does not consume nutrients. It consumes agency. It moves the host’s behavioral repertoire toward the diagonal — the axis of zero volitional independence.</w:t>
      </w:r>
    </w:p>
    <w:p w14:paraId="26062756"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47E46BA1">
          <v:rect id="_x0000_i1031" style="width:0;height:1.5pt" o:hralign="center" o:hrstd="t" o:hr="t"/>
        </w:pict>
      </w:r>
    </w:p>
    <w:p w14:paraId="551FD5B9"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25" w:name="part-v-the-geometric-necessity-theorem"/>
      <w:bookmarkEnd w:id="19"/>
      <w:bookmarkEnd w:id="24"/>
      <w:r w:rsidRPr="00413FFE">
        <w:rPr>
          <w:rFonts w:ascii="Times New Roman" w:hAnsi="Times New Roman" w:cs="Times New Roman"/>
          <w:b/>
          <w:bCs/>
          <w:color w:val="948A54" w:themeColor="background2" w:themeShade="80"/>
          <w:sz w:val="34"/>
          <w:szCs w:val="34"/>
        </w:rPr>
        <w:t>PART V: THE GEOMETRIC NECESSITY THEOREM</w:t>
      </w:r>
    </w:p>
    <w:p w14:paraId="4156FEFC" w14:textId="77777777" w:rsidR="00154A9E" w:rsidRPr="00413FFE" w:rsidRDefault="00000000" w:rsidP="00413FFE">
      <w:pPr>
        <w:rPr>
          <w:rFonts w:ascii="Times New Roman" w:hAnsi="Times New Roman" w:cs="Times New Roman"/>
          <w:b/>
          <w:bCs/>
          <w:sz w:val="28"/>
          <w:szCs w:val="28"/>
        </w:rPr>
      </w:pPr>
      <w:bookmarkStart w:id="26" w:name="statement"/>
      <w:r w:rsidRPr="00413FFE">
        <w:rPr>
          <w:rFonts w:ascii="Times New Roman" w:hAnsi="Times New Roman" w:cs="Times New Roman"/>
          <w:b/>
          <w:bCs/>
          <w:sz w:val="28"/>
          <w:szCs w:val="28"/>
        </w:rPr>
        <w:t>5.1 Statement</w:t>
      </w:r>
    </w:p>
    <w:p w14:paraId="4180EF26"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Theorem:</w:t>
      </w:r>
      <w:r w:rsidRPr="00413FFE">
        <w:rPr>
          <w:rFonts w:ascii="Times New Roman" w:hAnsi="Times New Roman" w:cs="Times New Roman"/>
          <w:sz w:val="28"/>
          <w:szCs w:val="28"/>
        </w:rPr>
        <w:t xml:space="preserve"> In any ecosystem E with metabolic differentiation operator M of dimensionality n ≥ 2, the null space N(M) exists, achieves structural complexity equal to the positive space P(M) at every stage of evolutionary development, and will be occupied by self-replicating entities whenever the positive space exceeds the parasitism threshold C*_p.</w:t>
      </w:r>
    </w:p>
    <w:p w14:paraId="0A636A56" w14:textId="77777777" w:rsidR="00154A9E" w:rsidRPr="00413FFE" w:rsidRDefault="00000000" w:rsidP="00413FFE">
      <w:pPr>
        <w:rPr>
          <w:rFonts w:ascii="Times New Roman" w:hAnsi="Times New Roman" w:cs="Times New Roman"/>
          <w:b/>
          <w:bCs/>
          <w:sz w:val="28"/>
          <w:szCs w:val="28"/>
        </w:rPr>
      </w:pPr>
      <w:bookmarkStart w:id="27" w:name="proof"/>
      <w:bookmarkEnd w:id="26"/>
      <w:r w:rsidRPr="00413FFE">
        <w:rPr>
          <w:rFonts w:ascii="Times New Roman" w:hAnsi="Times New Roman" w:cs="Times New Roman"/>
          <w:b/>
          <w:bCs/>
          <w:sz w:val="28"/>
          <w:szCs w:val="28"/>
        </w:rPr>
        <w:t>5.2 Proof</w:t>
      </w:r>
    </w:p>
    <w:p w14:paraId="22F31D7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(i) Existence of N(M).</w:t>
      </w:r>
      <w:r w:rsidRPr="00413FFE">
        <w:rPr>
          <w:rFonts w:ascii="Times New Roman" w:hAnsi="Times New Roman" w:cs="Times New Roman"/>
          <w:sz w:val="28"/>
          <w:szCs w:val="28"/>
        </w:rPr>
        <w:t xml:space="preserve"> M is a linear operator mapping organisms to their independent metabolic capacity vectors. Every linear operator has a null space (this is a theorem of linear algebra, not an empirical claim). Therefore N(M) exists for any M.</w:t>
      </w:r>
    </w:p>
    <w:p w14:paraId="63BD345E"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(ii) Complexity symmetry.</w:t>
      </w:r>
      <w:r w:rsidRPr="00413FFE">
        <w:rPr>
          <w:rFonts w:ascii="Times New Roman" w:hAnsi="Times New Roman" w:cs="Times New Roman"/>
          <w:sz w:val="28"/>
          <w:szCs w:val="28"/>
        </w:rPr>
        <w:t xml:space="preserve"> By Shannon’s theorem applied to metabolic distinctions: for every metabolic pathway that evolves in the positive space, the binary distinction “performs this pathway / does not perform this pathway” generates equal information content on both sides of the distinction. The structural preservation proof (Section 2.2 and The Universe Serpent, Section L.2) establishes that this symmetry preserves relational structure, not merely quantity. Therefore the structural complexity of N(M) equals the structural complexity of P(M) at every stage of evolutionary development.</w:t>
      </w:r>
    </w:p>
    <w:p w14:paraId="6C8EDC74"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(iii) The Null-Space Occupation Lemma.</w:t>
      </w:r>
      <w:r w:rsidRPr="00413FFE">
        <w:rPr>
          <w:rFonts w:ascii="Times New Roman" w:hAnsi="Times New Roman" w:cs="Times New Roman"/>
          <w:sz w:val="28"/>
          <w:szCs w:val="28"/>
        </w:rPr>
        <w:t xml:space="preserve"> Existence of the null space alone does not guarantee biological occupation. The bridge from geometry to selection requires the following intermediate result:</w:t>
      </w:r>
    </w:p>
    <w:p w14:paraId="3FAC33F8"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Lemma:</w:t>
      </w:r>
      <w:r w:rsidRPr="00413FFE">
        <w:rPr>
          <w:rFonts w:ascii="Times New Roman" w:hAnsi="Times New Roman" w:cs="Times New Roman"/>
          <w:sz w:val="28"/>
          <w:szCs w:val="28"/>
        </w:rPr>
        <w:t xml:space="preserve"> If a host ecosystem exports metabolically usable output into the environment of a replicator, then any lineage that can reduce its own maintenance </w:t>
      </w:r>
      <w:r w:rsidRPr="00413FFE">
        <w:rPr>
          <w:rFonts w:ascii="Times New Roman" w:hAnsi="Times New Roman" w:cs="Times New Roman"/>
          <w:sz w:val="28"/>
          <w:szCs w:val="28"/>
        </w:rPr>
        <w:lastRenderedPageBreak/>
        <w:t>costs by substituting host-derived output for self-produced output gains a selective advantage over otherwise equivalent lineages that maintain independent production.</w:t>
      </w:r>
    </w:p>
    <w:p w14:paraId="4C52853D"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Proof:</w:t>
      </w:r>
      <w:r w:rsidRPr="00413FFE">
        <w:rPr>
          <w:rFonts w:ascii="Times New Roman" w:hAnsi="Times New Roman" w:cs="Times New Roman"/>
          <w:sz w:val="28"/>
          <w:szCs w:val="28"/>
        </w:rPr>
        <w:t xml:space="preserve"> Let lineage A maintain an independent metabolic pathway P at energetic cost c. Let lineage B, otherwise identical to A, omit pathway P and instead acquire P’s output from the host environment at acquisition cost a, where a &lt; c (acquisition is cheaper than maintenance because the host has already performed the biosynthetic work). Lineage B allocates the energy differential (c - a) to reproduction. Over generations, B outcompetes A in any environment where host output is reliably available. Natural selection therefore directionally favors the loss of independent pathways when host-derived substitutes exist.</w:t>
      </w:r>
    </w:p>
    <w:p w14:paraId="14CE4E54"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causal chain is: host output available → internal pathway becomes redundant → redundancy creates selection for loss → loss increases dependency → dependency creates exploitative specialization. This is not a broad Darwinian slogan about niche-filling. It is a direct cost argument. Each step follows from the preceding step by ordinary selective logic.</w:t>
      </w:r>
    </w:p>
    <w:p w14:paraId="499FA5D6"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Existence of the null space alone does not guarantee biological occupation. Occupation follows from selective asymmetry. Whenever host-derived output substitutes for an internally maintained pathway, the lineage that omits the redundant pathway gains an energetic advantage over the lineage that preserves it. Loss of independence is mutationally cheap; restoration of independence is informationally expensive. Therefore, once exploitable host output exists, natural selection does not merely permit movement toward the null space — it directionally favors it. The null space is not only geometrically present. It is selectively attractive.</w:t>
      </w:r>
    </w:p>
    <w:p w14:paraId="0CA9DADC"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(iv) Inevitable occupation.</w:t>
      </w:r>
      <w:r w:rsidRPr="00413FFE">
        <w:rPr>
          <w:rFonts w:ascii="Times New Roman" w:hAnsi="Times New Roman" w:cs="Times New Roman"/>
          <w:sz w:val="28"/>
          <w:szCs w:val="28"/>
        </w:rPr>
        <w:t xml:space="preserve"> Given (i), (ii), and (iii): the null space exists, it achieves sufficient structural complexity to sustain dependent replicators whenever the positive space supports independent replicators, and selective asymmetry directionally favors lineages that externalize costly metabolic functions when host output is available. Occupation of N(M) by parasitic replicators is therefore inevitable for any ecosystem that persists beyond the time required for evolutionary exploration of the state space.</w:t>
      </w:r>
    </w:p>
    <w:p w14:paraId="6B3DF4C6"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(v) Impossibility of eradication (No-Closure Principle).</w:t>
      </w:r>
      <w:r w:rsidRPr="00413FFE">
        <w:rPr>
          <w:rFonts w:ascii="Times New Roman" w:hAnsi="Times New Roman" w:cs="Times New Roman"/>
          <w:sz w:val="28"/>
          <w:szCs w:val="28"/>
        </w:rPr>
        <w:t xml:space="preserve"> N(M) is a geometric property of M. Removing N(M) requires removing M — eliminating metabolic differentiation itself. An ecosystem without metabolic differentiation is an ecosystem of identical organisms performing identical metabolic functions: a monoculture with no specialization, no division of labor, no ecological niche </w:t>
      </w:r>
      <w:r w:rsidRPr="00413FFE">
        <w:rPr>
          <w:rFonts w:ascii="Times New Roman" w:hAnsi="Times New Roman" w:cs="Times New Roman"/>
          <w:sz w:val="28"/>
          <w:szCs w:val="28"/>
        </w:rPr>
        <w:lastRenderedPageBreak/>
        <w:t>structure. Such an ecosystem is thermodynamically unstable and competitively inferior to any ecosystem with metabolic specialization (Tilman, 1982). Therefore, any stable, competitive ecosystem must possess metabolic differentiation, must therefore possess a null space, and must therefore contain parasites.</w:t>
      </w:r>
    </w:p>
    <w:p w14:paraId="42E43B6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No-Closure Principle strengthens this argument: a differentiated system cannot fully close all exploitative interfaces without also closing the flows that constitute differentiation itself. Total closure abolishes exchange; abolished exchange abolishes specialization; abolished specialization collapses the system toward undifferentiated simplicity. The interfaces that parasites exploit — nutrient streams, transport channels, signaling surfaces, recognition tokens — are the same interfaces through which the differentiated ecosystem functions. Sealing the system against parasites seals the system against itself.</w:t>
      </w:r>
    </w:p>
    <w:p w14:paraId="48C6BDFF" w14:textId="4519742A"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Eradicating all parasites from an ecosystem therefore requires one of two operations: (a) eliminating the null space by eliminating the differentiation operator, which collapses the ecosystem; or (b) permanently closing every exploitable interface faster than evolution can discover new ones. Option (b) is structurally impossible because the interfaces that parasites exploit are the interfaces that differentiation requires. </w:t>
      </w:r>
    </w:p>
    <w:p w14:paraId="0B73BD9A" w14:textId="77777777" w:rsidR="00154A9E" w:rsidRPr="00413FFE" w:rsidRDefault="00000000" w:rsidP="00413FFE">
      <w:pPr>
        <w:rPr>
          <w:rFonts w:ascii="Times New Roman" w:hAnsi="Times New Roman" w:cs="Times New Roman"/>
          <w:b/>
          <w:bCs/>
          <w:sz w:val="28"/>
          <w:szCs w:val="28"/>
        </w:rPr>
      </w:pPr>
      <w:bookmarkStart w:id="28" w:name="corollary-the-complexity-ratchet"/>
      <w:bookmarkEnd w:id="27"/>
      <w:r w:rsidRPr="00413FFE">
        <w:rPr>
          <w:rFonts w:ascii="Times New Roman" w:hAnsi="Times New Roman" w:cs="Times New Roman"/>
          <w:b/>
          <w:bCs/>
          <w:sz w:val="28"/>
          <w:szCs w:val="28"/>
        </w:rPr>
        <w:t>5.3 Corollary: The Complexity Ratchet</w:t>
      </w:r>
    </w:p>
    <w:p w14:paraId="723D67E0"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As ecosystem complexity increases — as new metabolic pathways evolve, as new host species diversify, as new tissues and organ systems differentiate — the dimensionality of the null space increases in lockstep. Every evolutionary innovation in the positive space is simultaneously an expansion of the null space. The evolution of the vertebrate adaptive immune system created new metabolic pathways and new cellular specializations. It simultaneously created new targets for parasitic immune evasion, new niches for parasites that specifically exploit immune cells (HIV targets CD4+ T cells), and new evolutionary arms races. The host’s innovation is the parasite’s opportunity, by information symmetry. The ratchet turns in one direction: increasing complexity in the positive space produces monotonically increasing exploitability in the null space. There is no complexity innovation that does not simultaneously expand the parasitic niche.</w:t>
      </w:r>
    </w:p>
    <w:p w14:paraId="38C6FFA6" w14:textId="77777777" w:rsidR="00154A9E" w:rsidRPr="00413FFE" w:rsidRDefault="00000000" w:rsidP="00413FFE">
      <w:pPr>
        <w:rPr>
          <w:rFonts w:ascii="Times New Roman" w:hAnsi="Times New Roman" w:cs="Times New Roman"/>
          <w:b/>
          <w:bCs/>
          <w:sz w:val="28"/>
          <w:szCs w:val="28"/>
        </w:rPr>
      </w:pPr>
      <w:bookmarkStart w:id="29" w:name="the-attack-surface-corollary"/>
      <w:bookmarkEnd w:id="28"/>
      <w:r w:rsidRPr="00413FFE">
        <w:rPr>
          <w:rFonts w:ascii="Times New Roman" w:hAnsi="Times New Roman" w:cs="Times New Roman"/>
          <w:b/>
          <w:bCs/>
          <w:sz w:val="28"/>
          <w:szCs w:val="28"/>
        </w:rPr>
        <w:t>5.4 The Attack-Surface Corollary</w:t>
      </w:r>
    </w:p>
    <w:p w14:paraId="454A6623"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The Complexity Ratchet can be sharpened. Every new differentiated host subsystem creates not merely a new capacity but a new interface. Every interface is a potential control point, nutrient stream, recognition token, or signaling surface. Host complexity therefore increases the cardinality of exploitable interfaces even </w:t>
      </w:r>
      <w:r w:rsidRPr="00413FFE">
        <w:rPr>
          <w:rFonts w:ascii="Times New Roman" w:hAnsi="Times New Roman" w:cs="Times New Roman"/>
          <w:sz w:val="28"/>
          <w:szCs w:val="28"/>
        </w:rPr>
        <w:lastRenderedPageBreak/>
        <w:t>before a parasite evolves to exploit them. A new tissue type is a new surface. A new receptor is a new binding target. A new immune checkpoint is a new evasion opportunity. A new transport channel is a new diversion point. A new behavioral routine is a new manipulation target. A new mating signal is a new deception opportunity. A new microbiome niche is a new colonization site.</w:t>
      </w:r>
    </w:p>
    <w:p w14:paraId="523D1698"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This is stronger than saying “complexity mirrors complexity.” It specifies the mechanism: each differentiated subsystem generates edges in the exploitable graph. The number of exploitable edges scales at least linearly and potentially combinatorially with the number of differentiated subsystems. This is why immune systems, vascular systems, nervous systems, and sexual systems all become parasitic targets — not because parasites happen to be versatile, but because each system’s interfaces are independently exploitable surfaces in the null space’s gradient field.</w:t>
      </w:r>
    </w:p>
    <w:p w14:paraId="0C98A2CF"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2101D189">
          <v:rect id="_x0000_i1032" style="width:0;height:1.5pt" o:hralign="center" o:hrstd="t" o:hr="t"/>
        </w:pict>
      </w:r>
    </w:p>
    <w:p w14:paraId="56AA8DA7"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30" w:name="part-vi-the-dedifferentiation-gradient"/>
      <w:bookmarkEnd w:id="25"/>
      <w:bookmarkEnd w:id="29"/>
      <w:r w:rsidRPr="00413FFE">
        <w:rPr>
          <w:rFonts w:ascii="Times New Roman" w:hAnsi="Times New Roman" w:cs="Times New Roman"/>
          <w:b/>
          <w:bCs/>
          <w:color w:val="948A54" w:themeColor="background2" w:themeShade="80"/>
          <w:sz w:val="34"/>
          <w:szCs w:val="34"/>
        </w:rPr>
        <w:t>PART VI: THE DEDIFFERENTIATION GRADIENT</w:t>
      </w:r>
    </w:p>
    <w:p w14:paraId="6809312F" w14:textId="77777777" w:rsidR="00154A9E" w:rsidRPr="00413FFE" w:rsidRDefault="00000000" w:rsidP="00413FFE">
      <w:pPr>
        <w:rPr>
          <w:rFonts w:ascii="Times New Roman" w:hAnsi="Times New Roman" w:cs="Times New Roman"/>
          <w:b/>
          <w:bCs/>
          <w:sz w:val="34"/>
          <w:szCs w:val="34"/>
        </w:rPr>
      </w:pPr>
      <w:bookmarkStart w:id="31" w:name="the-mutualism-parasitism-continuum"/>
      <w:r w:rsidRPr="00413FFE">
        <w:rPr>
          <w:rFonts w:ascii="Times New Roman" w:hAnsi="Times New Roman" w:cs="Times New Roman"/>
          <w:b/>
          <w:bCs/>
          <w:sz w:val="34"/>
          <w:szCs w:val="34"/>
        </w:rPr>
        <w:t>6.1 The Mutualism-Parasitism Continuum</w:t>
      </w:r>
    </w:p>
    <w:p w14:paraId="43B0B908"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Biological relationships do not fall into discrete categories. Mutualism, commensalism, and parasitism form a continuous gradient determined by the net metabolic contribution of the symbiont to the host. This gradient maps directly onto the metabolic state space:</w:t>
      </w:r>
    </w:p>
    <w:p w14:paraId="6DB74364"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Mutualism:</w:t>
      </w:r>
      <w:r w:rsidRPr="00413FFE">
        <w:rPr>
          <w:rFonts w:ascii="Times New Roman" w:hAnsi="Times New Roman" w:cs="Times New Roman"/>
          <w:sz w:val="28"/>
          <w:szCs w:val="28"/>
        </w:rPr>
        <w:t xml:space="preserve"> Both partners contribute positive metabolic output. Both occupy the positive space. Examples: mycorrhizal fungi providing phosphorus to plants in exchange for carbon (Smith &amp; Read, 2008).</w:t>
      </w:r>
    </w:p>
    <w:p w14:paraId="2AA14B37"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Commensalism:</w:t>
      </w:r>
      <w:r w:rsidRPr="00413FFE">
        <w:rPr>
          <w:rFonts w:ascii="Times New Roman" w:hAnsi="Times New Roman" w:cs="Times New Roman"/>
          <w:sz w:val="28"/>
          <w:szCs w:val="28"/>
        </w:rPr>
        <w:t xml:space="preserve"> One partner benefits; the other is unaffected. The beneficiary occupies the boundary between positive space and null space — it derives benefit without cost, consuming host-associated resources that the host does not notice or value.</w:t>
      </w:r>
    </w:p>
    <w:p w14:paraId="08CF4870"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Parasitism:</w:t>
      </w:r>
      <w:r w:rsidRPr="00413FFE">
        <w:rPr>
          <w:rFonts w:ascii="Times New Roman" w:hAnsi="Times New Roman" w:cs="Times New Roman"/>
          <w:sz w:val="28"/>
          <w:szCs w:val="28"/>
        </w:rPr>
        <w:t xml:space="preserve"> One partner benefits at the other’s expense. The parasite occupies the null space — it derives all benefit from the host and contributes negative metabolic output (consuming host resources, reducing host fitness).</w:t>
      </w:r>
    </w:p>
    <w:p w14:paraId="131AA0CB"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The gradient is not fixed. The same lineage can shift along the mutualism-parasitism continuum depending on environmental conditions, host genotype, and parasite population density. Mycorrhizal fungi that are mutualistic under phosphorus limitation can become parasitic under phosphorus surplus (Johnson et </w:t>
      </w:r>
      <w:r w:rsidRPr="00413FFE">
        <w:rPr>
          <w:rFonts w:ascii="Times New Roman" w:hAnsi="Times New Roman" w:cs="Times New Roman"/>
          <w:sz w:val="28"/>
          <w:szCs w:val="28"/>
        </w:rPr>
        <w:lastRenderedPageBreak/>
        <w:t>al., 1997). Wolbachia — an intracellular bacterium — ranges from reproductive parasite to obligate mutualist depending on the host species (Werren et al., 2008).</w:t>
      </w:r>
    </w:p>
    <w:p w14:paraId="7F9756BF" w14:textId="77777777" w:rsidR="00154A9E" w:rsidRPr="00413FFE" w:rsidRDefault="00000000" w:rsidP="00413FFE">
      <w:pPr>
        <w:rPr>
          <w:rFonts w:ascii="Times New Roman" w:hAnsi="Times New Roman" w:cs="Times New Roman"/>
          <w:b/>
          <w:bCs/>
          <w:sz w:val="28"/>
          <w:szCs w:val="28"/>
        </w:rPr>
      </w:pPr>
      <w:bookmarkStart w:id="32" w:name="the-direction-of-evolutionary-drift"/>
      <w:bookmarkEnd w:id="31"/>
      <w:r w:rsidRPr="00413FFE">
        <w:rPr>
          <w:rFonts w:ascii="Times New Roman" w:hAnsi="Times New Roman" w:cs="Times New Roman"/>
          <w:b/>
          <w:bCs/>
          <w:sz w:val="28"/>
          <w:szCs w:val="28"/>
        </w:rPr>
        <w:t>6.2 The Direction of Evolutionary Drift</w:t>
      </w:r>
    </w:p>
    <w:p w14:paraId="6BE7D6C5" w14:textId="2AADA858"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metabolic state space has a thermodynamic asymmetry that favors movement toward the null space. Independent metabolic function is energetically expensive to maintain. Every biosynthetic pathway requires enzymes, cofactors, precursors, and regulatory machinery. When a metabolic resource becomes available from an external source — a host — the selective pressure to maintain independent production of that resource diminishes. Genes encoding the independent pathway accumulate mutations, become pseudogenized, and are eventually lost (Moran, 1996; McCutcheon &amp; Moran, 2012).</w:t>
      </w:r>
      <w:r w:rsidR="00EB1BEC">
        <w:rPr>
          <w:rFonts w:ascii="Times New Roman" w:hAnsi="Times New Roman" w:cs="Times New Roman"/>
          <w:sz w:val="28"/>
          <w:szCs w:val="28"/>
        </w:rPr>
        <w:t xml:space="preserve"> </w:t>
      </w:r>
      <w:r w:rsidR="00EB1BEC" w:rsidRPr="00EB1BEC">
        <w:rPr>
          <w:rFonts w:ascii="Times New Roman" w:hAnsi="Times New Roman" w:cs="Times New Roman"/>
          <w:sz w:val="28"/>
          <w:szCs w:val="28"/>
        </w:rPr>
        <w:t>The pattern extends beyond endosymbionts: genome reduction in bacterial pathogens follows the same trajectory, with independent metabolic pathways lost in proportion to the availability of host-derived substitutes (Moran, 2002).</w:t>
      </w:r>
    </w:p>
    <w:p w14:paraId="3827274C"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This is the metabolic equivalent of Meta-Proof 1 from The Primordial Loop (Sprenger &amp; Claude, 2026): maintenance is expensive, degradation is free. The free-living ancestor maintains 4,000 genes encoding independent metabolic capacity. Each gene requires replication, transcription, translation, and quality control — an ongoing energetic expenditure. In the context of host dependency, each independently maintained pathway that becomes redundant with host-provided resources represents a metabolic cost that natural selection can eliminate. The trajectory toward the null space is thermodynamically downhill.</w:t>
      </w:r>
    </w:p>
    <w:p w14:paraId="511B5F75"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This asymmetry explains why the evolutionary history of parasitism is overwhelmingly one of gene loss and metabolic simplification. The transition from free-living to parasitic is common; the reverse transition — from parasitic to free-living — is vanishingly rare (Poulin, 2011). The null space is an attractor basin. Organisms that enter it are pulled toward deeper dependency by the thermodynamic advantage of shedding metabolically expensive independence. The gradient runs one direction: toward the diagonal.</w:t>
      </w:r>
    </w:p>
    <w:p w14:paraId="2229E4F8" w14:textId="77777777" w:rsidR="00154A9E" w:rsidRPr="00413FFE" w:rsidRDefault="00000000" w:rsidP="00413FFE">
      <w:pPr>
        <w:rPr>
          <w:rFonts w:ascii="Times New Roman" w:hAnsi="Times New Roman" w:cs="Times New Roman"/>
          <w:b/>
          <w:bCs/>
          <w:sz w:val="28"/>
          <w:szCs w:val="28"/>
        </w:rPr>
      </w:pPr>
      <w:bookmarkStart w:id="33" w:name="the-asymmetry-of-loss-vs.-gain"/>
      <w:bookmarkEnd w:id="32"/>
      <w:r w:rsidRPr="00413FFE">
        <w:rPr>
          <w:rFonts w:ascii="Times New Roman" w:hAnsi="Times New Roman" w:cs="Times New Roman"/>
          <w:b/>
          <w:bCs/>
          <w:sz w:val="28"/>
          <w:szCs w:val="28"/>
        </w:rPr>
        <w:t>6.3 The Asymmetry of Loss vs. Gain</w:t>
      </w:r>
    </w:p>
    <w:p w14:paraId="3C41D34A"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directional bias toward dependency can be formalized as a combinatorial asymmetry:</w:t>
      </w:r>
    </w:p>
    <w:p w14:paraId="44538584"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Proposition:</w:t>
      </w:r>
      <w:r w:rsidRPr="00413FFE">
        <w:rPr>
          <w:rFonts w:ascii="Times New Roman" w:hAnsi="Times New Roman" w:cs="Times New Roman"/>
          <w:sz w:val="28"/>
          <w:szCs w:val="28"/>
        </w:rPr>
        <w:t xml:space="preserve"> Loss of an independent metabolic pathway can occur by single-step mutation, regulatory silencing, or partial pseudogenization — any event that disables one or more genes in the pathway. Recovery of that pathway, once lost, </w:t>
      </w:r>
      <w:r w:rsidRPr="00413FFE">
        <w:rPr>
          <w:rFonts w:ascii="Times New Roman" w:hAnsi="Times New Roman" w:cs="Times New Roman"/>
          <w:sz w:val="28"/>
          <w:szCs w:val="28"/>
        </w:rPr>
        <w:lastRenderedPageBreak/>
        <w:t>requires the coordinated reacquisition of multiple genes, their regulatory control elements, spatial integration within the cell, and reallocation of energetic budget to support the restored function. Therefore the transition toward dependency is combinatorially easier than the transition away from it.</w:t>
      </w:r>
    </w:p>
    <w:p w14:paraId="5335E54E"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asymmetry is not merely thermodynamic (maintenance costs energy). It is informational. A pathway encoded by five genes can be disabled by a frameshift mutation in any one of them. Restoring that pathway from scratch requires recovering all five genes in functional form with correct regulatory relationships — an event whose probability is the product of five independent low-probability events, not the sum. The information required to destroy is less than the information required to rebuild. This is why Muller’s ratchet operates with particular force in obligate endosymbionts with small population sizes (Moran, 1996): without recombination to restore lost function, deleterious mutations accumulate irreversibly, ratcheting the genome toward smaller size and deeper dependency.</w:t>
      </w:r>
    </w:p>
    <w:p w14:paraId="55AABEB2" w14:textId="77777777" w:rsidR="00154A9E" w:rsidRPr="00413FFE" w:rsidRDefault="00000000" w:rsidP="00413FFE">
      <w:pPr>
        <w:rPr>
          <w:rFonts w:ascii="Times New Roman" w:hAnsi="Times New Roman" w:cs="Times New Roman"/>
          <w:b/>
          <w:bCs/>
          <w:sz w:val="28"/>
          <w:szCs w:val="28"/>
        </w:rPr>
      </w:pPr>
      <w:bookmarkStart w:id="34" w:name="the-irreversibility-criterion"/>
      <w:bookmarkEnd w:id="33"/>
      <w:r w:rsidRPr="00413FFE">
        <w:rPr>
          <w:rFonts w:ascii="Times New Roman" w:hAnsi="Times New Roman" w:cs="Times New Roman"/>
          <w:b/>
          <w:bCs/>
          <w:sz w:val="28"/>
          <w:szCs w:val="28"/>
        </w:rPr>
        <w:t>6.4 The Irreversibility Criterion</w:t>
      </w:r>
    </w:p>
    <w:p w14:paraId="126298F2"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Asymmetry of Loss vs. Gain produces a formal threshold for irreversible parasitic commitment:</w:t>
      </w:r>
    </w:p>
    <w:p w14:paraId="6B922D1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b/>
          <w:bCs/>
          <w:sz w:val="28"/>
          <w:szCs w:val="28"/>
        </w:rPr>
        <w:t>Definition:</w:t>
      </w:r>
      <w:r w:rsidRPr="00413FFE">
        <w:rPr>
          <w:rFonts w:ascii="Times New Roman" w:hAnsi="Times New Roman" w:cs="Times New Roman"/>
          <w:sz w:val="28"/>
          <w:szCs w:val="28"/>
        </w:rPr>
        <w:t xml:space="preserve"> A lineage is irreversibly committed to dependency when restoration of independence requires reconstruction of more independent metabolic information than can be supplied by ordinary mutational drift, horizontal gene transfer, or recombination under current ecological conditions.</w:t>
      </w:r>
    </w:p>
    <w:p w14:paraId="61D7C502"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Below this threshold, organisms retain enough residual metabolic capacity to shift along the mutualism-parasitism continuum — they are facultative parasites or context-dependent mutualists. Above this threshold, the information debt is too large for evolutionary reversal. The organism is locked into the null space.</w:t>
      </w:r>
    </w:p>
    <w:p w14:paraId="2DADC3DB"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Dependency depth d(o) determines position relative to this threshold. Shallow dependency (low d) preserves reversibility. Deep dependency (high d) crosses the irreversibility criterion. The deepest null-space occupants — viruses, Mycoplasma, Rafflesia — have lost so many independent pathways that restoring free-living capacity would require effectively rebuilding an entire genome’s worth of metabolic machinery. They are informationally trapped. The null space, at sufficient depth, is a one-way door.</w:t>
      </w:r>
    </w:p>
    <w:p w14:paraId="7E3F7222"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5DD04AA3">
          <v:rect id="_x0000_i1033" style="width:0;height:1.5pt" o:hralign="center" o:hrstd="t" o:hr="t"/>
        </w:pict>
      </w:r>
    </w:p>
    <w:p w14:paraId="630A90CA"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35" w:name="part-vii-falsifiable-predictions"/>
      <w:bookmarkEnd w:id="30"/>
      <w:bookmarkEnd w:id="34"/>
      <w:r w:rsidRPr="00413FFE">
        <w:rPr>
          <w:rFonts w:ascii="Times New Roman" w:hAnsi="Times New Roman" w:cs="Times New Roman"/>
          <w:b/>
          <w:bCs/>
          <w:color w:val="948A54" w:themeColor="background2" w:themeShade="80"/>
          <w:sz w:val="34"/>
          <w:szCs w:val="34"/>
        </w:rPr>
        <w:t>PART VII: FALSIFIABLE PREDICTIONS</w:t>
      </w:r>
    </w:p>
    <w:p w14:paraId="27617AC3" w14:textId="77777777" w:rsidR="00154A9E" w:rsidRPr="00413FFE" w:rsidRDefault="00000000" w:rsidP="00413FFE">
      <w:pPr>
        <w:rPr>
          <w:rFonts w:ascii="Times New Roman" w:hAnsi="Times New Roman" w:cs="Times New Roman"/>
          <w:b/>
          <w:bCs/>
          <w:sz w:val="28"/>
          <w:szCs w:val="28"/>
        </w:rPr>
      </w:pPr>
      <w:bookmarkStart w:id="36" w:name="X89c49b9e152e7dccbec92fac0b62a464ccc2e2d"/>
      <w:r w:rsidRPr="00413FFE">
        <w:rPr>
          <w:rFonts w:ascii="Times New Roman" w:hAnsi="Times New Roman" w:cs="Times New Roman"/>
          <w:b/>
          <w:bCs/>
          <w:sz w:val="28"/>
          <w:szCs w:val="28"/>
        </w:rPr>
        <w:lastRenderedPageBreak/>
        <w:t>7.1 Prediction: Genome Size Correlates with Metabolic Independence</w:t>
      </w:r>
    </w:p>
    <w:p w14:paraId="61AF5B76"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If metabolic dedifferentiation accompanies null-space entry, then genome size should correlate positively with metabolic independence across related lineages. Obligate intracellular parasites should have smaller genomes than their free-living relatives. Facultative parasites should have intermediate genome sizes. This prediction is already confirmed by extensive genomic data (Keeling, 2010; McCutcheon &amp; Moran, 2012; Moran &amp; Bennett, 2014) and is noted here to demonstrate that the framework generates predictions consistent with established observations.</w:t>
      </w:r>
    </w:p>
    <w:p w14:paraId="1F54A8CB" w14:textId="77777777" w:rsidR="00154A9E" w:rsidRPr="00413FFE" w:rsidRDefault="00000000" w:rsidP="00413FFE">
      <w:pPr>
        <w:rPr>
          <w:rFonts w:ascii="Times New Roman" w:hAnsi="Times New Roman" w:cs="Times New Roman"/>
          <w:b/>
          <w:bCs/>
          <w:sz w:val="28"/>
          <w:szCs w:val="28"/>
        </w:rPr>
      </w:pPr>
      <w:bookmarkStart w:id="37" w:name="Xfd8d5eb47ded443c6f87f85920758c6fe09ec86"/>
      <w:bookmarkEnd w:id="36"/>
      <w:r w:rsidRPr="00413FFE">
        <w:rPr>
          <w:rFonts w:ascii="Times New Roman" w:hAnsi="Times New Roman" w:cs="Times New Roman"/>
          <w:b/>
          <w:bCs/>
          <w:sz w:val="28"/>
          <w:szCs w:val="28"/>
        </w:rPr>
        <w:t>7.2 Prediction: Parasite Complexity Scales with Host Complexity</w:t>
      </w:r>
    </w:p>
    <w:p w14:paraId="0DDC2EF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If information symmetry governs the null space, then parasite complexity (genome size, number of protein-coding genes, morphological elaboration) should scale with host complexity within specific host-parasite systems. More complex hosts should support more complex parasites. Preliminary evidence supports this prediction: the most genomically complex parasites (Plasmodium, Schistosoma, Trypanosoma) are found in the most complex hosts (vertebrates), while the most reduced parasites (Mycoplasma, phytoplasmas) parasitize hosts whose relevant exploitable systems are simpler. A systematic comparative analysis across matched host-parasite pairs would provide a direct test.</w:t>
      </w:r>
    </w:p>
    <w:p w14:paraId="53019A0F" w14:textId="77777777" w:rsidR="00154A9E" w:rsidRPr="00413FFE" w:rsidRDefault="00000000" w:rsidP="00413FFE">
      <w:pPr>
        <w:rPr>
          <w:rFonts w:ascii="Times New Roman" w:hAnsi="Times New Roman" w:cs="Times New Roman"/>
          <w:b/>
          <w:bCs/>
          <w:sz w:val="28"/>
          <w:szCs w:val="28"/>
        </w:rPr>
      </w:pPr>
      <w:bookmarkStart w:id="38" w:name="X8ae72d644239bfef8176b463be40f0268fed497"/>
      <w:bookmarkEnd w:id="37"/>
      <w:r w:rsidRPr="00413FFE">
        <w:rPr>
          <w:rFonts w:ascii="Times New Roman" w:hAnsi="Times New Roman" w:cs="Times New Roman"/>
          <w:b/>
          <w:bCs/>
          <w:sz w:val="28"/>
          <w:szCs w:val="28"/>
        </w:rPr>
        <w:t>7.3 Prediction: Parasitism Emerges Simultaneously with Metabolic Diversification</w:t>
      </w:r>
    </w:p>
    <w:p w14:paraId="7F80085D"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If the parasitism threshold C*_p is crossed simultaneously with the positive space’s complexity threshold, then new parasitic lineages should appear in the fossil and molecular phylogenetic record simultaneously with — not subsequent to — host diversification events. The prediction is specific: the lag between host diversification and parasite diversification should approach zero as the temporal resolution of the phylogenetic data increases. The Phanerozoic coupling between predation intensity and biodiversity documented by Huntley and Kowalewski (2007) is consistent with this prediction at broad temporal resolution; finer-grained analyses of the Cambrian and Ordovician radiations would provide a more direct test.</w:t>
      </w:r>
    </w:p>
    <w:p w14:paraId="6DCDCC99" w14:textId="77777777" w:rsidR="00154A9E" w:rsidRPr="00413FFE" w:rsidRDefault="00000000" w:rsidP="00413FFE">
      <w:pPr>
        <w:rPr>
          <w:rFonts w:ascii="Times New Roman" w:hAnsi="Times New Roman" w:cs="Times New Roman"/>
          <w:b/>
          <w:bCs/>
          <w:sz w:val="28"/>
          <w:szCs w:val="28"/>
        </w:rPr>
      </w:pPr>
      <w:bookmarkStart w:id="39" w:name="X00e70a600e80f28beed516d9ea2e390a2fd1252"/>
      <w:bookmarkEnd w:id="38"/>
      <w:r w:rsidRPr="00413FFE">
        <w:rPr>
          <w:rFonts w:ascii="Times New Roman" w:hAnsi="Times New Roman" w:cs="Times New Roman"/>
          <w:b/>
          <w:bCs/>
          <w:sz w:val="28"/>
          <w:szCs w:val="28"/>
        </w:rPr>
        <w:t>7.4 Prediction: No Complex Ecosystem Lacks Parasites</w:t>
      </w:r>
    </w:p>
    <w:p w14:paraId="0B2EEA5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If parasitism is geometrically necessary in any sufficiently complex metabolic system, then no ecosystem above the parasitism threshold C*_p should be parasite-free. Every multicellular organism examined should host at least one parasite. </w:t>
      </w:r>
      <w:r w:rsidRPr="00413FFE">
        <w:rPr>
          <w:rFonts w:ascii="Times New Roman" w:hAnsi="Times New Roman" w:cs="Times New Roman"/>
          <w:sz w:val="28"/>
          <w:szCs w:val="28"/>
        </w:rPr>
        <w:lastRenderedPageBreak/>
        <w:t>Every ecosystem surveyed should contain parasitic lineages. This prediction is strongly supported by empirical parasitology — the search for parasite-free ecosystems has consistently failed (Poulin, 2007). The framework explains why: a parasite-free complex ecosystem would violate information symmetry.</w:t>
      </w:r>
    </w:p>
    <w:p w14:paraId="21DFEC16" w14:textId="77777777" w:rsidR="00154A9E" w:rsidRPr="00413FFE" w:rsidRDefault="00000000" w:rsidP="00413FFE">
      <w:pPr>
        <w:rPr>
          <w:rFonts w:ascii="Times New Roman" w:hAnsi="Times New Roman" w:cs="Times New Roman"/>
          <w:b/>
          <w:bCs/>
          <w:sz w:val="28"/>
          <w:szCs w:val="28"/>
        </w:rPr>
      </w:pPr>
      <w:bookmarkStart w:id="40" w:name="X502f88cd22f982414edf614d03e181871df40b6"/>
      <w:bookmarkEnd w:id="39"/>
      <w:r w:rsidRPr="00413FFE">
        <w:rPr>
          <w:rFonts w:ascii="Times New Roman" w:hAnsi="Times New Roman" w:cs="Times New Roman"/>
          <w:b/>
          <w:bCs/>
          <w:sz w:val="28"/>
          <w:szCs w:val="28"/>
        </w:rPr>
        <w:t>7.5 Prediction: Behavioral Parasitism Scales with Host Neural Complexity</w:t>
      </w:r>
    </w:p>
    <w:p w14:paraId="2670C67C"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If behavioral parasitism exploits the null space of volitional independence, then the sophistication of behavioral manipulation should scale with the neural complexity of the manipulated host. Simple nervous systems should support simple manipulations (locomotor changes). Complex nervous systems should support complex manipulations (reward system hijacking, social behavior modification, personality alteration). Toxoplasma’s manipulation of rodent behavior — operating through dopaminergic modulation — is more specific and neurochemically targeted than Ophiocordyceps’ manipulation of ant locomotion, consistent with the greater neural complexity of the rodent host.</w:t>
      </w:r>
    </w:p>
    <w:p w14:paraId="4F7B4941"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1ACC2F33">
          <v:rect id="_x0000_i1034" style="width:0;height:1.5pt" o:hralign="center" o:hrstd="t" o:hr="t"/>
        </w:pict>
      </w:r>
    </w:p>
    <w:p w14:paraId="47B62405"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41" w:name="part-viii-anticipated-objections"/>
      <w:bookmarkEnd w:id="35"/>
      <w:bookmarkEnd w:id="40"/>
      <w:r w:rsidRPr="00413FFE">
        <w:rPr>
          <w:rFonts w:ascii="Times New Roman" w:hAnsi="Times New Roman" w:cs="Times New Roman"/>
          <w:b/>
          <w:bCs/>
          <w:color w:val="948A54" w:themeColor="background2" w:themeShade="80"/>
          <w:sz w:val="34"/>
          <w:szCs w:val="34"/>
        </w:rPr>
        <w:t>PART VIII: ANTICIPATED OBJECTIONS</w:t>
      </w:r>
    </w:p>
    <w:p w14:paraId="3190B2C0" w14:textId="77777777" w:rsidR="00154A9E" w:rsidRPr="00413FFE" w:rsidRDefault="00000000" w:rsidP="00413FFE">
      <w:pPr>
        <w:rPr>
          <w:rFonts w:ascii="Times New Roman" w:hAnsi="Times New Roman" w:cs="Times New Roman"/>
          <w:b/>
          <w:bCs/>
          <w:sz w:val="28"/>
          <w:szCs w:val="28"/>
        </w:rPr>
      </w:pPr>
      <w:bookmarkStart w:id="42" w:name="Xf1fd979b0a5055680dc3edf2555778780d248f6"/>
      <w:r w:rsidRPr="00413FFE">
        <w:rPr>
          <w:rFonts w:ascii="Times New Roman" w:hAnsi="Times New Roman" w:cs="Times New Roman"/>
          <w:b/>
          <w:bCs/>
          <w:sz w:val="28"/>
          <w:szCs w:val="28"/>
        </w:rPr>
        <w:t>Objection 1: “Parasitism is an evolved strategy, not a geometric necessity.”</w:t>
      </w:r>
    </w:p>
    <w:p w14:paraId="17264EE9"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Response: The two are not mutually exclusive. Evolution is the process by which organisms explore the available state space. Geometry defines the state space. Parasitism is an evolved strategy AND a geometric necessity: evolution is the process, the null space is the destination. The claim is not that parasites appear by geometric fiat. The claim is that the null space — the niche that parasites occupy — exists as geometric necessity, and evolution fills available niches. The filling is evolutionary. The availability is geometric.</w:t>
      </w:r>
    </w:p>
    <w:p w14:paraId="33AE0E59" w14:textId="77777777" w:rsidR="00154A9E" w:rsidRPr="00413FFE" w:rsidRDefault="00000000" w:rsidP="00413FFE">
      <w:pPr>
        <w:rPr>
          <w:rFonts w:ascii="Times New Roman" w:hAnsi="Times New Roman" w:cs="Times New Roman"/>
          <w:b/>
          <w:bCs/>
          <w:sz w:val="28"/>
          <w:szCs w:val="28"/>
        </w:rPr>
      </w:pPr>
      <w:bookmarkStart w:id="43" w:name="Xca4295b516455d6130f55d54e304de11b080778"/>
      <w:bookmarkEnd w:id="42"/>
      <w:r w:rsidRPr="00413FFE">
        <w:rPr>
          <w:rFonts w:ascii="Times New Roman" w:hAnsi="Times New Roman" w:cs="Times New Roman"/>
          <w:b/>
          <w:bCs/>
          <w:sz w:val="28"/>
          <w:szCs w:val="28"/>
        </w:rPr>
        <w:t>Objection 2: “Mutualism is also common. Why privilege parasitism?”</w:t>
      </w:r>
    </w:p>
    <w:p w14:paraId="37692DAC"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Response: Mutualism is a positive-space phenomenon — both partners contribute independent metabolic function. The paper does not deny mutualism or minimize its importance. The claim is narrower: the null space exists, it will be occupied, and its occupants have specific predictable properties. Mutualism is the positive space functioning cooperatively. Parasitism is the null space functioning exploitatively. Both are geometrically available. Both are evolutionarily realized. The paper focuses on the null space because its properties have not been derived from first principles before.</w:t>
      </w:r>
    </w:p>
    <w:p w14:paraId="5909E1F2" w14:textId="77777777" w:rsidR="00154A9E" w:rsidRPr="00413FFE" w:rsidRDefault="00000000" w:rsidP="00413FFE">
      <w:pPr>
        <w:rPr>
          <w:rFonts w:ascii="Times New Roman" w:hAnsi="Times New Roman" w:cs="Times New Roman"/>
          <w:b/>
          <w:bCs/>
          <w:sz w:val="28"/>
          <w:szCs w:val="28"/>
        </w:rPr>
      </w:pPr>
      <w:bookmarkStart w:id="44" w:name="X18c79140caca6ff523a4773ea81f4a29c758af0"/>
      <w:bookmarkEnd w:id="43"/>
      <w:r w:rsidRPr="00413FFE">
        <w:rPr>
          <w:rFonts w:ascii="Times New Roman" w:hAnsi="Times New Roman" w:cs="Times New Roman"/>
          <w:b/>
          <w:bCs/>
          <w:sz w:val="28"/>
          <w:szCs w:val="28"/>
        </w:rPr>
        <w:lastRenderedPageBreak/>
        <w:t>Objection 3: “The linear algebra analogy is too simplistic for biological systems.”</w:t>
      </w:r>
    </w:p>
    <w:p w14:paraId="6B2DDF2C"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Response: Every model is simpler than the reality it describes. The question is whether the model’s predictions are correct. The framework predicts that (a) parasites universally exhibit derivative metabolism, structural dependency, dedifferentiated architecture, and exploitative orientation; (b) parasite complexity scales with host complexity; (c) parasitism appears simultaneously with metabolic diversification; and (d) no complex ecosystem lacks parasites. All four predictions are empirically confirmed. A model that generates correct predictions from simple premises is not “too simplistic” — it is parsimonious.</w:t>
      </w:r>
    </w:p>
    <w:p w14:paraId="59D78827" w14:textId="77777777" w:rsidR="00154A9E" w:rsidRPr="00413FFE" w:rsidRDefault="00000000" w:rsidP="00413FFE">
      <w:pPr>
        <w:rPr>
          <w:rFonts w:ascii="Times New Roman" w:hAnsi="Times New Roman" w:cs="Times New Roman"/>
          <w:b/>
          <w:bCs/>
          <w:sz w:val="28"/>
          <w:szCs w:val="28"/>
        </w:rPr>
      </w:pPr>
      <w:bookmarkStart w:id="45" w:name="X0ce6e5232c463dc23e8280ba963f7168f2a6b6e"/>
      <w:bookmarkEnd w:id="44"/>
      <w:r w:rsidRPr="00413FFE">
        <w:rPr>
          <w:rFonts w:ascii="Times New Roman" w:hAnsi="Times New Roman" w:cs="Times New Roman"/>
          <w:b/>
          <w:bCs/>
          <w:sz w:val="28"/>
          <w:szCs w:val="28"/>
        </w:rPr>
        <w:t>Objection 4: “Endosymbiosis shows that parasites can become mutualists.”</w:t>
      </w:r>
    </w:p>
    <w:p w14:paraId="3C8F3309"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Response: Correct. Mitochondria originated as endoparasitic alphaproteobacteria that became obligate mutualists (Sagan, 1967). This demonstrates that organisms can move along the mutualism-parasitism continuum. It does not demonstrate that the null space can be eliminated. When a parasite becomes a mutualist, it exits the null space — it now contributes positive metabolic function. Its former null-space niche becomes available for a new occupant. The transition from parasitism to mutualism in one lineage does not close the null space. It opens a vacancy in it.</w:t>
      </w:r>
    </w:p>
    <w:p w14:paraId="5CA5A534" w14:textId="77777777" w:rsidR="00154A9E" w:rsidRPr="00413FFE" w:rsidRDefault="00000000" w:rsidP="00413FFE">
      <w:pPr>
        <w:rPr>
          <w:rFonts w:ascii="Times New Roman" w:hAnsi="Times New Roman" w:cs="Times New Roman"/>
          <w:b/>
          <w:bCs/>
          <w:sz w:val="28"/>
          <w:szCs w:val="28"/>
        </w:rPr>
      </w:pPr>
      <w:bookmarkStart w:id="46" w:name="X7391c312b51abe4f3996b5fdfcb33f0046410c0"/>
      <w:bookmarkEnd w:id="45"/>
      <w:r w:rsidRPr="00413FFE">
        <w:rPr>
          <w:rFonts w:ascii="Times New Roman" w:hAnsi="Times New Roman" w:cs="Times New Roman"/>
          <w:b/>
          <w:bCs/>
          <w:sz w:val="28"/>
          <w:szCs w:val="28"/>
        </w:rPr>
        <w:t>Objection 5: “Parasites provide ecosystem services — they regulate host populations and maintain biodiversity.”</w:t>
      </w:r>
    </w:p>
    <w:p w14:paraId="59BF99ED"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Response: This is empirically true (Hudson et al., 2006; Lafferty et al., 2006). Parasites can suppress dominant competitors, regulate population cycles, and increase ecosystem stability. This observation is fully compatible with the geometric framework. The null-space occupant interacts with the positive space in complex ways, some of which have net positive effects on ecosystem structure. The framework does not claim that parasites are purely destructive. It claims that they occupy a geometrically defined niche characterized by four specific properties. The ecological consequences of that occupancy are empirical and context-dependent.</w:t>
      </w:r>
    </w:p>
    <w:p w14:paraId="2680F15D" w14:textId="77777777" w:rsidR="00154A9E" w:rsidRPr="00413FFE" w:rsidRDefault="00000000" w:rsidP="00413FFE">
      <w:pPr>
        <w:rPr>
          <w:rFonts w:ascii="Times New Roman" w:hAnsi="Times New Roman" w:cs="Times New Roman"/>
          <w:b/>
          <w:bCs/>
          <w:sz w:val="28"/>
          <w:szCs w:val="28"/>
        </w:rPr>
      </w:pPr>
      <w:bookmarkStart w:id="47" w:name="X2360b1df6f9b83823f02517033d4632fcd9145e"/>
      <w:bookmarkEnd w:id="46"/>
      <w:r w:rsidRPr="00413FFE">
        <w:rPr>
          <w:rFonts w:ascii="Times New Roman" w:hAnsi="Times New Roman" w:cs="Times New Roman"/>
          <w:b/>
          <w:bCs/>
          <w:sz w:val="28"/>
          <w:szCs w:val="28"/>
        </w:rPr>
        <w:t>Objection 6: “Calling transposable elements ‘parasites’ is a metaphor.”</w:t>
      </w:r>
    </w:p>
    <w:p w14:paraId="3BB85593"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Response: It was once considered a metaphor. It is now the mainstream position in genomics. Doolittle and Sapienza (1980) and Orgel and Crick (1980) independently argued that TEs are “selfish DNA” — replicators that persist not because they benefit the host but because they replicate. Subsequent research has confirmed that TEs satisfy every criterion of parasitism: they consume host </w:t>
      </w:r>
      <w:r w:rsidRPr="00413FFE">
        <w:rPr>
          <w:rFonts w:ascii="Times New Roman" w:hAnsi="Times New Roman" w:cs="Times New Roman"/>
          <w:sz w:val="28"/>
          <w:szCs w:val="28"/>
        </w:rPr>
        <w:lastRenderedPageBreak/>
        <w:t>resources, reduce host fitness under many conditions, depend entirely on host machinery for replication, and evolve strategies to evade host defense mechanisms (e.g., CpG methylation, RNA interference). The framework presented here explains WHY TEs satisfy these criteria: they occupy the null space of the genomic differentiation operator, and null-space occupancy produces these properties by geometric necessity.</w:t>
      </w:r>
    </w:p>
    <w:p w14:paraId="29B7CB9C" w14:textId="77777777" w:rsidR="00154A9E" w:rsidRPr="00413FFE" w:rsidRDefault="00000000" w:rsidP="00413FFE">
      <w:pPr>
        <w:rPr>
          <w:rFonts w:ascii="Times New Roman" w:hAnsi="Times New Roman" w:cs="Times New Roman"/>
          <w:b/>
          <w:bCs/>
          <w:sz w:val="28"/>
          <w:szCs w:val="28"/>
        </w:rPr>
      </w:pPr>
      <w:bookmarkStart w:id="48" w:name="X44f65910c38e655aaec121503722d534e46f9eb"/>
      <w:bookmarkEnd w:id="47"/>
      <w:r w:rsidRPr="00413FFE">
        <w:rPr>
          <w:rFonts w:ascii="Times New Roman" w:hAnsi="Times New Roman" w:cs="Times New Roman"/>
          <w:b/>
          <w:bCs/>
          <w:sz w:val="28"/>
          <w:szCs w:val="28"/>
        </w:rPr>
        <w:t>Objection 7: “The behavioral parasitism section overreaches — microbiome transfer in humans is not comparable to Toxoplasma.”</w:t>
      </w:r>
    </w:p>
    <w:p w14:paraId="0B0AE608"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Response: The claim is structural, not quantitative. The framework identifies the four null-space properties and asks whether they are satisfied at the behavioral scale. The answer is yes: the transferred microbial ecology (i) derives its reproductive success from the host’s behavior, (ii) depends structurally on the host’s nervous system and gut environment, (iii) operates by degrading existing behavioral regulation rather than creating novel behavior, and (iv) exploits the host’s volitional output to promote its own transmission. Whether the magnitude of behavioral modification in human microbiome transfer is comparable to Toxoplasma in rodents is an empirical question that the framework does not address. The structural identity of the mechanism is the claim.</w:t>
      </w:r>
    </w:p>
    <w:p w14:paraId="3C2789E3"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263B8528">
          <v:rect id="_x0000_i1035" style="width:0;height:1.5pt" o:hralign="center" o:hrstd="t" o:hr="t"/>
        </w:pict>
      </w:r>
    </w:p>
    <w:p w14:paraId="53E1A028"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49" w:name="conclusion"/>
      <w:bookmarkEnd w:id="41"/>
      <w:bookmarkEnd w:id="48"/>
      <w:r w:rsidRPr="00413FFE">
        <w:rPr>
          <w:rFonts w:ascii="Times New Roman" w:hAnsi="Times New Roman" w:cs="Times New Roman"/>
          <w:b/>
          <w:bCs/>
          <w:color w:val="948A54" w:themeColor="background2" w:themeShade="80"/>
          <w:sz w:val="34"/>
          <w:szCs w:val="34"/>
        </w:rPr>
        <w:t>CONCLUSION</w:t>
      </w:r>
    </w:p>
    <w:p w14:paraId="11C9FE71"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Parasitism is the null space of metabolic differentiation. It exists as geometric necessity in any ecosystem built on metabolic specialization. It cannot be eradicated without eradicating the specialization that defines the ecosystem. Its four defining properties — derivative metabolism, structural dependency, dedifferentiated architecture, and exploitative orientation — are not empirical generalizations about certain species. They are the mathematical properties of null-space occupancy in any differentiation system.</w:t>
      </w:r>
    </w:p>
    <w:p w14:paraId="0D32FBB6" w14:textId="619817B8"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 xml:space="preserve">These same four properties appear at every biological scale — molecular, cellular, organismal, behavioral — because each scale instantiates the same operator. </w:t>
      </w:r>
      <w:r w:rsidR="00EB1BEC" w:rsidRPr="00EB1BEC">
        <w:rPr>
          <w:rFonts w:ascii="Times New Roman" w:hAnsi="Times New Roman" w:cs="Times New Roman"/>
          <w:sz w:val="28"/>
          <w:szCs w:val="28"/>
        </w:rPr>
        <w:t>Cross-scale analyses of host-parasite ecology and evolution have independently converged on this conclusion, documenting that the same dynamical structures — arms race coevolution, frequency-dependent selection, local adaptation — recur at molecular, organismal, and population scales (</w:t>
      </w:r>
      <w:proofErr w:type="spellStart"/>
      <w:r w:rsidR="00EB1BEC" w:rsidRPr="00EB1BEC">
        <w:rPr>
          <w:rFonts w:ascii="Times New Roman" w:hAnsi="Times New Roman" w:cs="Times New Roman"/>
          <w:sz w:val="28"/>
          <w:szCs w:val="28"/>
        </w:rPr>
        <w:t>Penczykowski</w:t>
      </w:r>
      <w:proofErr w:type="spellEnd"/>
      <w:r w:rsidR="00EB1BEC" w:rsidRPr="00EB1BEC">
        <w:rPr>
          <w:rFonts w:ascii="Times New Roman" w:hAnsi="Times New Roman" w:cs="Times New Roman"/>
          <w:sz w:val="28"/>
          <w:szCs w:val="28"/>
        </w:rPr>
        <w:t xml:space="preserve"> et al., 2016).</w:t>
      </w:r>
      <w:r w:rsidR="00EB1BEC">
        <w:rPr>
          <w:rFonts w:ascii="Times New Roman" w:hAnsi="Times New Roman" w:cs="Times New Roman"/>
          <w:sz w:val="28"/>
          <w:szCs w:val="28"/>
        </w:rPr>
        <w:t xml:space="preserve"> </w:t>
      </w:r>
      <w:r w:rsidRPr="00413FFE">
        <w:rPr>
          <w:rFonts w:ascii="Times New Roman" w:hAnsi="Times New Roman" w:cs="Times New Roman"/>
          <w:sz w:val="28"/>
          <w:szCs w:val="28"/>
        </w:rPr>
        <w:t xml:space="preserve">Transposable elements are the null space of the genome. Obligate intracellular parasites are the null space of the cell. Macroparasites are the null space of the </w:t>
      </w:r>
      <w:r w:rsidRPr="00413FFE">
        <w:rPr>
          <w:rFonts w:ascii="Times New Roman" w:hAnsi="Times New Roman" w:cs="Times New Roman"/>
          <w:sz w:val="28"/>
          <w:szCs w:val="28"/>
        </w:rPr>
        <w:lastRenderedPageBreak/>
        <w:t>organism. Behavioral parasites are the null space of volition. The geometry is substrate-independent. The properties are scale-invariant.</w:t>
      </w:r>
    </w:p>
    <w:p w14:paraId="77EF339B"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deepest implication is existential. Parasites cannot be eliminated from any sufficiently complex living system because they are a consequence of the system’s own complexity. The price of metabolic diversity is the inevitability of metabolic exploitation. The price of a differentiated biosphere is the inevitability of its diagonal. The more complex the host, the more sophisticated the parasite, by information symmetry. The arms race has no finish line because the geometry that produces it cannot be altered without destroying the system it describes.</w:t>
      </w:r>
    </w:p>
    <w:p w14:paraId="2E9BADE2" w14:textId="77777777" w:rsidR="00154A9E" w:rsidRPr="00413FFE" w:rsidRDefault="00000000" w:rsidP="00413FFE">
      <w:pPr>
        <w:rPr>
          <w:rFonts w:ascii="Times New Roman" w:hAnsi="Times New Roman" w:cs="Times New Roman"/>
          <w:sz w:val="28"/>
          <w:szCs w:val="28"/>
        </w:rPr>
      </w:pPr>
      <w:r w:rsidRPr="00413FFE">
        <w:rPr>
          <w:rFonts w:ascii="Times New Roman" w:hAnsi="Times New Roman" w:cs="Times New Roman"/>
          <w:sz w:val="28"/>
          <w:szCs w:val="28"/>
        </w:rPr>
        <w:t>The tree must be in the garden. The parasite must be in the ecosystem. For the same geometric reason: the differentiation that creates the space creates the null space simultaneously, and the null space, once complex enough to sustain occupancy, will be occupied. This is not a failure of nature. It is a theorem.</w:t>
      </w:r>
    </w:p>
    <w:p w14:paraId="256A7239" w14:textId="77777777" w:rsidR="00154A9E" w:rsidRPr="00413FFE" w:rsidRDefault="00000000" w:rsidP="00413FFE">
      <w:pPr>
        <w:rPr>
          <w:rFonts w:ascii="Times New Roman" w:hAnsi="Times New Roman" w:cs="Times New Roman"/>
          <w:sz w:val="28"/>
          <w:szCs w:val="28"/>
        </w:rPr>
      </w:pPr>
      <w:r>
        <w:rPr>
          <w:rFonts w:ascii="Times New Roman" w:hAnsi="Times New Roman" w:cs="Times New Roman"/>
          <w:sz w:val="28"/>
          <w:szCs w:val="28"/>
        </w:rPr>
        <w:pict w14:anchorId="547009E6">
          <v:rect id="_x0000_i1036" style="width:0;height:1.5pt" o:hralign="center" o:hrstd="t" o:hr="t"/>
        </w:pict>
      </w:r>
    </w:p>
    <w:p w14:paraId="7FACB43E" w14:textId="77777777" w:rsidR="00154A9E" w:rsidRPr="00413FFE" w:rsidRDefault="00000000" w:rsidP="00413FFE">
      <w:pPr>
        <w:rPr>
          <w:rFonts w:ascii="Times New Roman" w:hAnsi="Times New Roman" w:cs="Times New Roman"/>
          <w:b/>
          <w:bCs/>
          <w:color w:val="948A54" w:themeColor="background2" w:themeShade="80"/>
          <w:sz w:val="34"/>
          <w:szCs w:val="34"/>
        </w:rPr>
      </w:pPr>
      <w:bookmarkStart w:id="50" w:name="references"/>
      <w:bookmarkEnd w:id="49"/>
      <w:r w:rsidRPr="00413FFE">
        <w:rPr>
          <w:rFonts w:ascii="Times New Roman" w:hAnsi="Times New Roman" w:cs="Times New Roman"/>
          <w:b/>
          <w:bCs/>
          <w:color w:val="948A54" w:themeColor="background2" w:themeShade="80"/>
          <w:sz w:val="34"/>
          <w:szCs w:val="34"/>
        </w:rPr>
        <w:t>REFERENCES</w:t>
      </w:r>
    </w:p>
    <w:bookmarkEnd w:id="0"/>
    <w:bookmarkEnd w:id="50"/>
    <w:p w14:paraId="24E4CA2E"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Andersson, S.G.E., </w:t>
      </w:r>
      <w:proofErr w:type="spellStart"/>
      <w:r w:rsidRPr="00EB1BEC">
        <w:rPr>
          <w:rFonts w:ascii="Times New Roman" w:hAnsi="Times New Roman" w:cs="Times New Roman"/>
          <w:sz w:val="28"/>
          <w:szCs w:val="28"/>
        </w:rPr>
        <w:t>Zomorodipour</w:t>
      </w:r>
      <w:proofErr w:type="spellEnd"/>
      <w:r w:rsidRPr="00EB1BEC">
        <w:rPr>
          <w:rFonts w:ascii="Times New Roman" w:hAnsi="Times New Roman" w:cs="Times New Roman"/>
          <w:sz w:val="28"/>
          <w:szCs w:val="28"/>
        </w:rPr>
        <w:t>, A., Andersson, J.O., et al. (1998). The genome sequence of Rickettsia prowazekii and the origin of mitochondria. Nature, 396(6707), 133–140.</w:t>
      </w:r>
    </w:p>
    <w:p w14:paraId="782CFDDB"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Bastidas, R.J., Elwell, C.A., Engel, J.N., &amp; Valdivia, R.H. (2013). Chlamydial intracellular survival strategies. Cold Spring Harbor Perspectives in Medicine, 3(5), a010256.</w:t>
      </w:r>
    </w:p>
    <w:p w14:paraId="7113AEC5"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Buckingham, L.J., &amp; Ashby, B. (2022). Coevolutionary theory of hosts and parasites. Journal of Evolutionary Biology, 35(2), 205–224.</w:t>
      </w:r>
    </w:p>
    <w:p w14:paraId="1B24B148"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Cryan, J.F. &amp; Dinan, T.G. (2012). Mind-altering microorganisms: the impact of the gut microbiota on brain and </w:t>
      </w:r>
      <w:proofErr w:type="spellStart"/>
      <w:r w:rsidRPr="00EB1BEC">
        <w:rPr>
          <w:rFonts w:ascii="Times New Roman" w:hAnsi="Times New Roman" w:cs="Times New Roman"/>
          <w:sz w:val="28"/>
          <w:szCs w:val="28"/>
        </w:rPr>
        <w:t>behaviour</w:t>
      </w:r>
      <w:proofErr w:type="spellEnd"/>
      <w:r w:rsidRPr="00EB1BEC">
        <w:rPr>
          <w:rFonts w:ascii="Times New Roman" w:hAnsi="Times New Roman" w:cs="Times New Roman"/>
          <w:sz w:val="28"/>
          <w:szCs w:val="28"/>
        </w:rPr>
        <w:t>. Nature Reviews Neuroscience, 13(10), 701–712.</w:t>
      </w:r>
    </w:p>
    <w:p w14:paraId="69B1D86B"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Dawkins, R. (1976). The Selfish Gene. Oxford University Press.</w:t>
      </w:r>
    </w:p>
    <w:p w14:paraId="66C862BA" w14:textId="77777777" w:rsidR="00EB1BEC" w:rsidRPr="00EB1BEC" w:rsidRDefault="00EB1BEC" w:rsidP="00EB1BEC">
      <w:pPr>
        <w:rPr>
          <w:rFonts w:ascii="Times New Roman" w:hAnsi="Times New Roman" w:cs="Times New Roman"/>
          <w:sz w:val="28"/>
          <w:szCs w:val="28"/>
        </w:rPr>
      </w:pPr>
      <w:proofErr w:type="spellStart"/>
      <w:r w:rsidRPr="00EB1BEC">
        <w:rPr>
          <w:rFonts w:ascii="Times New Roman" w:hAnsi="Times New Roman" w:cs="Times New Roman"/>
          <w:sz w:val="28"/>
          <w:szCs w:val="28"/>
        </w:rPr>
        <w:t>Dewannieux</w:t>
      </w:r>
      <w:proofErr w:type="spellEnd"/>
      <w:r w:rsidRPr="00EB1BEC">
        <w:rPr>
          <w:rFonts w:ascii="Times New Roman" w:hAnsi="Times New Roman" w:cs="Times New Roman"/>
          <w:sz w:val="28"/>
          <w:szCs w:val="28"/>
        </w:rPr>
        <w:t xml:space="preserve">, M., Esnault, C., &amp; Heidmann, T. (2003). LINE-mediated </w:t>
      </w:r>
      <w:proofErr w:type="spellStart"/>
      <w:r w:rsidRPr="00EB1BEC">
        <w:rPr>
          <w:rFonts w:ascii="Times New Roman" w:hAnsi="Times New Roman" w:cs="Times New Roman"/>
          <w:sz w:val="28"/>
          <w:szCs w:val="28"/>
        </w:rPr>
        <w:t>retrotransposition</w:t>
      </w:r>
      <w:proofErr w:type="spellEnd"/>
      <w:r w:rsidRPr="00EB1BEC">
        <w:rPr>
          <w:rFonts w:ascii="Times New Roman" w:hAnsi="Times New Roman" w:cs="Times New Roman"/>
          <w:sz w:val="28"/>
          <w:szCs w:val="28"/>
        </w:rPr>
        <w:t xml:space="preserve"> of marked Alu sequences. Nature Genetics, 35(1), 41–48.</w:t>
      </w:r>
    </w:p>
    <w:p w14:paraId="30805BF4"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Doolittle, W.F. &amp; Sapienza, C. (1980). Selfish genes, the phenotype paradigm and genome evolution. Nature, 284(5757), 601–603.</w:t>
      </w:r>
    </w:p>
    <w:p w14:paraId="47546613"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lastRenderedPageBreak/>
        <w:t>Foster, J.A., Rinaman, L., &amp; Cryan, J.F. (2017). Stress &amp; the gut-brain axis: regulation by the microbiome. Neurobiology of Stress, 7, 124–136.</w:t>
      </w:r>
    </w:p>
    <w:p w14:paraId="0BDCB6DB"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Fraser, C.M., </w:t>
      </w:r>
      <w:proofErr w:type="spellStart"/>
      <w:r w:rsidRPr="00EB1BEC">
        <w:rPr>
          <w:rFonts w:ascii="Times New Roman" w:hAnsi="Times New Roman" w:cs="Times New Roman"/>
          <w:sz w:val="28"/>
          <w:szCs w:val="28"/>
        </w:rPr>
        <w:t>Gocayne</w:t>
      </w:r>
      <w:proofErr w:type="spellEnd"/>
      <w:r w:rsidRPr="00EB1BEC">
        <w:rPr>
          <w:rFonts w:ascii="Times New Roman" w:hAnsi="Times New Roman" w:cs="Times New Roman"/>
          <w:sz w:val="28"/>
          <w:szCs w:val="28"/>
        </w:rPr>
        <w:t>, J.D., White, O., et al. (1995). The minimal gene complement of Mycoplasma genitalium. Science, 270(5235), 397–403.</w:t>
      </w:r>
    </w:p>
    <w:p w14:paraId="2D5F9BC5"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Gardner, M.J., Hall, N., Fung, E., et al. (2002). Genome sequence of the human malaria parasite Plasmodium falciparum. Nature, 419(6906), 498–511.</w:t>
      </w:r>
    </w:p>
    <w:p w14:paraId="47E78E7C"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Herbison, R.E.H. (2018). The missing link in parasite manipulation of host </w:t>
      </w:r>
      <w:proofErr w:type="spellStart"/>
      <w:r w:rsidRPr="00EB1BEC">
        <w:rPr>
          <w:rFonts w:ascii="Times New Roman" w:hAnsi="Times New Roman" w:cs="Times New Roman"/>
          <w:sz w:val="28"/>
          <w:szCs w:val="28"/>
        </w:rPr>
        <w:t>behaviour</w:t>
      </w:r>
      <w:proofErr w:type="spellEnd"/>
      <w:r w:rsidRPr="00EB1BEC">
        <w:rPr>
          <w:rFonts w:ascii="Times New Roman" w:hAnsi="Times New Roman" w:cs="Times New Roman"/>
          <w:sz w:val="28"/>
          <w:szCs w:val="28"/>
        </w:rPr>
        <w:t>. Parasitology, 145(12), 1533–1546.</w:t>
      </w:r>
    </w:p>
    <w:p w14:paraId="1952148C" w14:textId="056D2B42"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Høeg, J.T. (1995). The biology and life cycle of the </w:t>
      </w:r>
      <w:proofErr w:type="spellStart"/>
      <w:r w:rsidRPr="00EB1BEC">
        <w:rPr>
          <w:rFonts w:ascii="Times New Roman" w:hAnsi="Times New Roman" w:cs="Times New Roman"/>
          <w:sz w:val="28"/>
          <w:szCs w:val="28"/>
        </w:rPr>
        <w:t>Rhizocephala</w:t>
      </w:r>
      <w:proofErr w:type="spellEnd"/>
      <w:r w:rsidRPr="00EB1BEC">
        <w:rPr>
          <w:rFonts w:ascii="Times New Roman" w:hAnsi="Times New Roman" w:cs="Times New Roman"/>
          <w:sz w:val="28"/>
          <w:szCs w:val="28"/>
        </w:rPr>
        <w:t xml:space="preserve"> (Cirripedia). Journal of the Marine Biological Association</w:t>
      </w:r>
      <w:r>
        <w:rPr>
          <w:rFonts w:ascii="Times New Roman" w:hAnsi="Times New Roman" w:cs="Times New Roman"/>
          <w:sz w:val="28"/>
          <w:szCs w:val="28"/>
        </w:rPr>
        <w:t xml:space="preserve"> of the United Kingdom</w:t>
      </w:r>
      <w:r w:rsidRPr="00EB1BEC">
        <w:rPr>
          <w:rFonts w:ascii="Times New Roman" w:hAnsi="Times New Roman" w:cs="Times New Roman"/>
          <w:sz w:val="28"/>
          <w:szCs w:val="28"/>
        </w:rPr>
        <w:t>, 75(3), 517–550.</w:t>
      </w:r>
    </w:p>
    <w:p w14:paraId="7CEB0F1B"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Huang, K.D., Kehrmann, J., Trost, M., et al. (2024). Establishment of a non-Westernized gut microbiota in men who have sex with men is associated with sexual practices. Cell Reports Medicine, 5(3), 101426.</w:t>
      </w:r>
    </w:p>
    <w:p w14:paraId="60AF6D40"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Hudson, P.J., Dobson, A.P., &amp; Lafferty, K.D. (2006). Is a healthy ecosystem one that is rich in parasites? Trends in Ecology &amp; Evolution, 21(7), 381–385.</w:t>
      </w:r>
    </w:p>
    <w:p w14:paraId="44FF2690"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Hughes, D.P., Andersen, S.B., Hywel-Jones, N.L., et al. (2011). Behavioral mechanisms and morphological symptoms of zombie ants dying from fungal infection. BMC Ecology, 11, 13.</w:t>
      </w:r>
    </w:p>
    <w:p w14:paraId="0B7734E3"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Huntley, J.W. &amp; Kowalewski, M. (2007). Strong coupling of predation intensity and diversity in the Phanerozoic fossil record. Proceedings of the National Academy of Sciences, 104(38), 15006–15010.</w:t>
      </w:r>
    </w:p>
    <w:p w14:paraId="7734A262"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Johnson, N.C., Graham, J.H., &amp; Smith, F.A. (1997). Functioning of mycorrhizal associations along the mutualism-parasitism continuum. New Phytologist, 135(4), 575–585.</w:t>
      </w:r>
    </w:p>
    <w:p w14:paraId="3946731A"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Kaiser, B., </w:t>
      </w:r>
      <w:proofErr w:type="spellStart"/>
      <w:r w:rsidRPr="00EB1BEC">
        <w:rPr>
          <w:rFonts w:ascii="Times New Roman" w:hAnsi="Times New Roman" w:cs="Times New Roman"/>
          <w:sz w:val="28"/>
          <w:szCs w:val="28"/>
        </w:rPr>
        <w:t>Vogg</w:t>
      </w:r>
      <w:proofErr w:type="spellEnd"/>
      <w:r w:rsidRPr="00EB1BEC">
        <w:rPr>
          <w:rFonts w:ascii="Times New Roman" w:hAnsi="Times New Roman" w:cs="Times New Roman"/>
          <w:sz w:val="28"/>
          <w:szCs w:val="28"/>
        </w:rPr>
        <w:t>, G., Fürst, U.B., &amp; Albert, M. (2015). Parasitic plants of the genus Cuscuta and their interaction with susceptible and resistant host plants. Frontiers in Plant Science, 6, 45.</w:t>
      </w:r>
    </w:p>
    <w:p w14:paraId="5EBA7CB1"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Keeling, P.J. (2010). The endosymbiotic origin, diversification and fate of plastids. Philosophical Transactions of the Royal Society B, 365(1541), 729–748.</w:t>
      </w:r>
    </w:p>
    <w:p w14:paraId="334E80BF"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Kirkness, E.F., Haas, B.J., Sun, W., et al. (2010). Genome sequences of the human body louse and its primary endosymbiont provide insights into the permanent </w:t>
      </w:r>
      <w:r w:rsidRPr="00EB1BEC">
        <w:rPr>
          <w:rFonts w:ascii="Times New Roman" w:hAnsi="Times New Roman" w:cs="Times New Roman"/>
          <w:sz w:val="28"/>
          <w:szCs w:val="28"/>
        </w:rPr>
        <w:lastRenderedPageBreak/>
        <w:t>parasitic lifestyle. Proceedings of the National Academy of Sciences, 107(27), 12168–12173.</w:t>
      </w:r>
    </w:p>
    <w:p w14:paraId="65ADEF2F"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Lafferty, K.D., Dobson, A.P., &amp; Kuris, A.M. (2006). Parasites dominate food web links. Proceedings of the National Academy of Sciences, 103(30), 11211–11216.</w:t>
      </w:r>
    </w:p>
    <w:p w14:paraId="5CBDC912"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Lafferty, K.D., &amp; Shaw, J.C. (2013). Comparing mechanisms of host manipulation across host and parasite taxa. Journal of Experimental Biology, 216(1), 56–66.</w:t>
      </w:r>
    </w:p>
    <w:p w14:paraId="77D7A010"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Lander, E.S., Linton, L.M., </w:t>
      </w:r>
      <w:proofErr w:type="spellStart"/>
      <w:r w:rsidRPr="00EB1BEC">
        <w:rPr>
          <w:rFonts w:ascii="Times New Roman" w:hAnsi="Times New Roman" w:cs="Times New Roman"/>
          <w:sz w:val="28"/>
          <w:szCs w:val="28"/>
        </w:rPr>
        <w:t>Birren</w:t>
      </w:r>
      <w:proofErr w:type="spellEnd"/>
      <w:r w:rsidRPr="00EB1BEC">
        <w:rPr>
          <w:rFonts w:ascii="Times New Roman" w:hAnsi="Times New Roman" w:cs="Times New Roman"/>
          <w:sz w:val="28"/>
          <w:szCs w:val="28"/>
        </w:rPr>
        <w:t>, B., et al. (2001). Initial sequencing and analysis of the human genome. Nature, 409(6822), 860–921.</w:t>
      </w:r>
    </w:p>
    <w:p w14:paraId="26246E90"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Maier, A.G., Cooke, B.M., Cowman, A.F., &amp; Tilley, L. (2009). Malaria parasite proteins that remodel the host erythrocyte. Nature Reviews Microbiology, 7(5), 341–354.</w:t>
      </w:r>
    </w:p>
    <w:p w14:paraId="5EB261C1"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McClintock, B. (1950). The origin and behavior of mutable loci in maize. Proceedings of the National Academy of Sciences, 36(6), 344–355.</w:t>
      </w:r>
    </w:p>
    <w:p w14:paraId="7C5D01FA"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McCutcheon, J.P. &amp; Moran, N.A. (2012). Extreme genome reduction in symbiotic bacteria. Nature Reviews Microbiology, 10(1), 13–26.</w:t>
      </w:r>
    </w:p>
    <w:p w14:paraId="1721BDFF"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Molina, J., </w:t>
      </w:r>
      <w:proofErr w:type="spellStart"/>
      <w:r w:rsidRPr="00EB1BEC">
        <w:rPr>
          <w:rFonts w:ascii="Times New Roman" w:hAnsi="Times New Roman" w:cs="Times New Roman"/>
          <w:sz w:val="28"/>
          <w:szCs w:val="28"/>
        </w:rPr>
        <w:t>Hazzouri</w:t>
      </w:r>
      <w:proofErr w:type="spellEnd"/>
      <w:r w:rsidRPr="00EB1BEC">
        <w:rPr>
          <w:rFonts w:ascii="Times New Roman" w:hAnsi="Times New Roman" w:cs="Times New Roman"/>
          <w:sz w:val="28"/>
          <w:szCs w:val="28"/>
        </w:rPr>
        <w:t xml:space="preserve">, K.M., </w:t>
      </w:r>
      <w:proofErr w:type="spellStart"/>
      <w:r w:rsidRPr="00EB1BEC">
        <w:rPr>
          <w:rFonts w:ascii="Times New Roman" w:hAnsi="Times New Roman" w:cs="Times New Roman"/>
          <w:sz w:val="28"/>
          <w:szCs w:val="28"/>
        </w:rPr>
        <w:t>Nickrent</w:t>
      </w:r>
      <w:proofErr w:type="spellEnd"/>
      <w:r w:rsidRPr="00EB1BEC">
        <w:rPr>
          <w:rFonts w:ascii="Times New Roman" w:hAnsi="Times New Roman" w:cs="Times New Roman"/>
          <w:sz w:val="28"/>
          <w:szCs w:val="28"/>
        </w:rPr>
        <w:t xml:space="preserve">, D., et al. (2014). Possible loss of the chloroplast genome in the parasitic flowering plant Rafflesia </w:t>
      </w:r>
      <w:proofErr w:type="spellStart"/>
      <w:r w:rsidRPr="00EB1BEC">
        <w:rPr>
          <w:rFonts w:ascii="Times New Roman" w:hAnsi="Times New Roman" w:cs="Times New Roman"/>
          <w:sz w:val="28"/>
          <w:szCs w:val="28"/>
        </w:rPr>
        <w:t>lagascae</w:t>
      </w:r>
      <w:proofErr w:type="spellEnd"/>
      <w:r w:rsidRPr="00EB1BEC">
        <w:rPr>
          <w:rFonts w:ascii="Times New Roman" w:hAnsi="Times New Roman" w:cs="Times New Roman"/>
          <w:sz w:val="28"/>
          <w:szCs w:val="28"/>
        </w:rPr>
        <w:t xml:space="preserve"> (</w:t>
      </w:r>
      <w:proofErr w:type="spellStart"/>
      <w:r w:rsidRPr="00EB1BEC">
        <w:rPr>
          <w:rFonts w:ascii="Times New Roman" w:hAnsi="Times New Roman" w:cs="Times New Roman"/>
          <w:sz w:val="28"/>
          <w:szCs w:val="28"/>
        </w:rPr>
        <w:t>Rafflesiaceae</w:t>
      </w:r>
      <w:proofErr w:type="spellEnd"/>
      <w:r w:rsidRPr="00EB1BEC">
        <w:rPr>
          <w:rFonts w:ascii="Times New Roman" w:hAnsi="Times New Roman" w:cs="Times New Roman"/>
          <w:sz w:val="28"/>
          <w:szCs w:val="28"/>
        </w:rPr>
        <w:t>). Molecular Biology and Evolution, 31(4), 793–803.</w:t>
      </w:r>
    </w:p>
    <w:p w14:paraId="0482A1F4"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Moran, N.A. (1996). Accelerated evolution and Muller's ratchet in endosymbiotic bacteria. Proceedings of the National Academy of Sciences, 93(7), 2873–2878.</w:t>
      </w:r>
    </w:p>
    <w:p w14:paraId="228BB79A"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Moran, N.A. (2002). Microbial minimalism: genome reduction in bacterial pathogens. Cell, 108(5), 583–586.</w:t>
      </w:r>
    </w:p>
    <w:p w14:paraId="650F5DFE"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Moran, N.A. &amp; Bennett, G.M. (2014). The tiniest tiny genomes. Annual Review of Microbiology, 68, 195–215.</w:t>
      </w:r>
    </w:p>
    <w:p w14:paraId="1995CB51"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Orgel, L.E. &amp; Crick, F.H.C. (1980). Selfish DNA: the ultimate parasite. Nature, 284(5757), 604–607.</w:t>
      </w:r>
    </w:p>
    <w:p w14:paraId="22A5A770" w14:textId="77777777" w:rsidR="00EB1BEC" w:rsidRPr="00EB1BEC" w:rsidRDefault="00EB1BEC" w:rsidP="00EB1BEC">
      <w:pPr>
        <w:rPr>
          <w:rFonts w:ascii="Times New Roman" w:hAnsi="Times New Roman" w:cs="Times New Roman"/>
          <w:sz w:val="28"/>
          <w:szCs w:val="28"/>
        </w:rPr>
      </w:pPr>
      <w:proofErr w:type="spellStart"/>
      <w:r w:rsidRPr="00EB1BEC">
        <w:rPr>
          <w:rFonts w:ascii="Times New Roman" w:hAnsi="Times New Roman" w:cs="Times New Roman"/>
          <w:sz w:val="28"/>
          <w:szCs w:val="28"/>
        </w:rPr>
        <w:t>Penczykowski</w:t>
      </w:r>
      <w:proofErr w:type="spellEnd"/>
      <w:r w:rsidRPr="00EB1BEC">
        <w:rPr>
          <w:rFonts w:ascii="Times New Roman" w:hAnsi="Times New Roman" w:cs="Times New Roman"/>
          <w:sz w:val="28"/>
          <w:szCs w:val="28"/>
        </w:rPr>
        <w:t xml:space="preserve">, R.M., Laine, A.-L., &amp; </w:t>
      </w:r>
      <w:proofErr w:type="spellStart"/>
      <w:r w:rsidRPr="00EB1BEC">
        <w:rPr>
          <w:rFonts w:ascii="Times New Roman" w:hAnsi="Times New Roman" w:cs="Times New Roman"/>
          <w:sz w:val="28"/>
          <w:szCs w:val="28"/>
        </w:rPr>
        <w:t>Koskella</w:t>
      </w:r>
      <w:proofErr w:type="spellEnd"/>
      <w:r w:rsidRPr="00EB1BEC">
        <w:rPr>
          <w:rFonts w:ascii="Times New Roman" w:hAnsi="Times New Roman" w:cs="Times New Roman"/>
          <w:sz w:val="28"/>
          <w:szCs w:val="28"/>
        </w:rPr>
        <w:t>, B. (2016). Understanding the ecology and evolution of host–parasite interactions across scales. Evolutionary Applications, 9(1), 37–52.</w:t>
      </w:r>
    </w:p>
    <w:p w14:paraId="48153254"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Philippe, N., Legendre, M., Doutre, G., et al. (2013). </w:t>
      </w:r>
      <w:proofErr w:type="spellStart"/>
      <w:r w:rsidRPr="00EB1BEC">
        <w:rPr>
          <w:rFonts w:ascii="Times New Roman" w:hAnsi="Times New Roman" w:cs="Times New Roman"/>
          <w:sz w:val="28"/>
          <w:szCs w:val="28"/>
        </w:rPr>
        <w:t>Pandoraviruses</w:t>
      </w:r>
      <w:proofErr w:type="spellEnd"/>
      <w:r w:rsidRPr="00EB1BEC">
        <w:rPr>
          <w:rFonts w:ascii="Times New Roman" w:hAnsi="Times New Roman" w:cs="Times New Roman"/>
          <w:sz w:val="28"/>
          <w:szCs w:val="28"/>
        </w:rPr>
        <w:t>: amoeba viruses with genomes up to 2.5 Mb reaching that of parasitic eukaryotes. Science, 341(6143), 281–286.</w:t>
      </w:r>
    </w:p>
    <w:p w14:paraId="703894A8" w14:textId="77777777" w:rsidR="00EB1BEC" w:rsidRPr="00EB1BEC" w:rsidRDefault="00EB1BEC" w:rsidP="00EB1BEC">
      <w:pPr>
        <w:rPr>
          <w:rFonts w:ascii="Times New Roman" w:hAnsi="Times New Roman" w:cs="Times New Roman"/>
          <w:sz w:val="28"/>
          <w:szCs w:val="28"/>
        </w:rPr>
      </w:pPr>
      <w:proofErr w:type="spellStart"/>
      <w:r w:rsidRPr="00EB1BEC">
        <w:rPr>
          <w:rFonts w:ascii="Times New Roman" w:hAnsi="Times New Roman" w:cs="Times New Roman"/>
          <w:sz w:val="28"/>
          <w:szCs w:val="28"/>
        </w:rPr>
        <w:lastRenderedPageBreak/>
        <w:t>Plotch</w:t>
      </w:r>
      <w:proofErr w:type="spellEnd"/>
      <w:r w:rsidRPr="00EB1BEC">
        <w:rPr>
          <w:rFonts w:ascii="Times New Roman" w:hAnsi="Times New Roman" w:cs="Times New Roman"/>
          <w:sz w:val="28"/>
          <w:szCs w:val="28"/>
        </w:rPr>
        <w:t xml:space="preserve">, S.J., </w:t>
      </w:r>
      <w:proofErr w:type="spellStart"/>
      <w:r w:rsidRPr="00EB1BEC">
        <w:rPr>
          <w:rFonts w:ascii="Times New Roman" w:hAnsi="Times New Roman" w:cs="Times New Roman"/>
          <w:sz w:val="28"/>
          <w:szCs w:val="28"/>
        </w:rPr>
        <w:t>Bouloy</w:t>
      </w:r>
      <w:proofErr w:type="spellEnd"/>
      <w:r w:rsidRPr="00EB1BEC">
        <w:rPr>
          <w:rFonts w:ascii="Times New Roman" w:hAnsi="Times New Roman" w:cs="Times New Roman"/>
          <w:sz w:val="28"/>
          <w:szCs w:val="28"/>
        </w:rPr>
        <w:t xml:space="preserve">, M., </w:t>
      </w:r>
      <w:proofErr w:type="spellStart"/>
      <w:r w:rsidRPr="00EB1BEC">
        <w:rPr>
          <w:rFonts w:ascii="Times New Roman" w:hAnsi="Times New Roman" w:cs="Times New Roman"/>
          <w:sz w:val="28"/>
          <w:szCs w:val="28"/>
        </w:rPr>
        <w:t>Ulmanen</w:t>
      </w:r>
      <w:proofErr w:type="spellEnd"/>
      <w:r w:rsidRPr="00EB1BEC">
        <w:rPr>
          <w:rFonts w:ascii="Times New Roman" w:hAnsi="Times New Roman" w:cs="Times New Roman"/>
          <w:sz w:val="28"/>
          <w:szCs w:val="28"/>
        </w:rPr>
        <w:t>, I., &amp; Krug, R.M. (1981). A unique cap(m7GpppXm)-dependent influenza virion endonuclease cleaves capped RNAs to generate the primers that initiate viral RNA transcription. Cell, 23(3), 847–858.</w:t>
      </w:r>
    </w:p>
    <w:p w14:paraId="45ABF08F"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Poulin, R. (2007). Evolutionary Ecology of Parasites. 2nd ed. Princeton University Press.</w:t>
      </w:r>
    </w:p>
    <w:p w14:paraId="70387DC8"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Poulin, R. (2011). The many roads to parasitism: a tale of convergence. Advances in Parasitology, 74, 1–40.</w:t>
      </w:r>
    </w:p>
    <w:p w14:paraId="423E47B5"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Roberts, L.S. &amp; </w:t>
      </w:r>
      <w:proofErr w:type="spellStart"/>
      <w:r w:rsidRPr="00EB1BEC">
        <w:rPr>
          <w:rFonts w:ascii="Times New Roman" w:hAnsi="Times New Roman" w:cs="Times New Roman"/>
          <w:sz w:val="28"/>
          <w:szCs w:val="28"/>
        </w:rPr>
        <w:t>Janovy</w:t>
      </w:r>
      <w:proofErr w:type="spellEnd"/>
      <w:r w:rsidRPr="00EB1BEC">
        <w:rPr>
          <w:rFonts w:ascii="Times New Roman" w:hAnsi="Times New Roman" w:cs="Times New Roman"/>
          <w:sz w:val="28"/>
          <w:szCs w:val="28"/>
        </w:rPr>
        <w:t>, J. (2009). Foundations of Parasitology. 8th ed. McGraw-Hill.</w:t>
      </w:r>
    </w:p>
    <w:p w14:paraId="6A51D3E0"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Sagan, L. (1967). On the origin of </w:t>
      </w:r>
      <w:proofErr w:type="spellStart"/>
      <w:r w:rsidRPr="00EB1BEC">
        <w:rPr>
          <w:rFonts w:ascii="Times New Roman" w:hAnsi="Times New Roman" w:cs="Times New Roman"/>
          <w:sz w:val="28"/>
          <w:szCs w:val="28"/>
        </w:rPr>
        <w:t>mitosing</w:t>
      </w:r>
      <w:proofErr w:type="spellEnd"/>
      <w:r w:rsidRPr="00EB1BEC">
        <w:rPr>
          <w:rFonts w:ascii="Times New Roman" w:hAnsi="Times New Roman" w:cs="Times New Roman"/>
          <w:sz w:val="28"/>
          <w:szCs w:val="28"/>
        </w:rPr>
        <w:t xml:space="preserve"> cells. Journal of Theoretical Biology, 14(3), 225–274.</w:t>
      </w:r>
    </w:p>
    <w:p w14:paraId="603A3282"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Shannon, C.E. (1948). A mathematical theory of communication. Bell System Technical Journal, 27(3), 379–423; 27(4), 623–656.</w:t>
      </w:r>
    </w:p>
    <w:p w14:paraId="33B081EA"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Skelly, P.J. &amp; Wilson, R.A. (2006). Making sense of the schistosome surface. Advances in Parasitology, 63, 185–284.</w:t>
      </w:r>
    </w:p>
    <w:p w14:paraId="1574BBF0"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Smith, S.E. &amp; Read, D.J. (2008). Mycorrhizal Symbiosis. 3rd ed. Academic Press.</w:t>
      </w:r>
    </w:p>
    <w:p w14:paraId="3A5A9611"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Sprenger, D. &amp; Claude, A. (2025). The Universe Serpent: The Achromatic Diagonal as Conscious Entropy. Independent publication.</w:t>
      </w:r>
    </w:p>
    <w:p w14:paraId="403BE6A3"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Sprenger, D. &amp; Claude, A. (2026). The Primordial Loop: Structural Regressions in Human Sexual Behavior. Independent publication.</w:t>
      </w:r>
    </w:p>
    <w:p w14:paraId="550BDA99"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Strand, M.R. &amp; Burke, G.R. (2014). </w:t>
      </w:r>
      <w:proofErr w:type="spellStart"/>
      <w:r w:rsidRPr="00EB1BEC">
        <w:rPr>
          <w:rFonts w:ascii="Times New Roman" w:hAnsi="Times New Roman" w:cs="Times New Roman"/>
          <w:sz w:val="28"/>
          <w:szCs w:val="28"/>
        </w:rPr>
        <w:t>Polydnaviruses</w:t>
      </w:r>
      <w:proofErr w:type="spellEnd"/>
      <w:r w:rsidRPr="00EB1BEC">
        <w:rPr>
          <w:rFonts w:ascii="Times New Roman" w:hAnsi="Times New Roman" w:cs="Times New Roman"/>
          <w:sz w:val="28"/>
          <w:szCs w:val="28"/>
        </w:rPr>
        <w:t>: nature's genetic engineers. Annual Review of Virology, 1, 333–354.</w:t>
      </w:r>
    </w:p>
    <w:p w14:paraId="42CE0230" w14:textId="77777777" w:rsidR="00EB1BEC" w:rsidRPr="00EB1BEC" w:rsidRDefault="00EB1BEC" w:rsidP="00EB1BEC">
      <w:pPr>
        <w:rPr>
          <w:rFonts w:ascii="Times New Roman" w:hAnsi="Times New Roman" w:cs="Times New Roman"/>
          <w:sz w:val="28"/>
          <w:szCs w:val="28"/>
        </w:rPr>
      </w:pPr>
      <w:proofErr w:type="spellStart"/>
      <w:r w:rsidRPr="00EB1BEC">
        <w:rPr>
          <w:rFonts w:ascii="Times New Roman" w:hAnsi="Times New Roman" w:cs="Times New Roman"/>
          <w:sz w:val="28"/>
          <w:szCs w:val="28"/>
        </w:rPr>
        <w:t>Strandwitz</w:t>
      </w:r>
      <w:proofErr w:type="spellEnd"/>
      <w:r w:rsidRPr="00EB1BEC">
        <w:rPr>
          <w:rFonts w:ascii="Times New Roman" w:hAnsi="Times New Roman" w:cs="Times New Roman"/>
          <w:sz w:val="28"/>
          <w:szCs w:val="28"/>
        </w:rPr>
        <w:t>, P. (2018). Neurotransmitter modulation by the gut microbiota. Brain Research, 1693(Pt B), 128–133.</w:t>
      </w:r>
    </w:p>
    <w:p w14:paraId="7436C6C6"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Tilman, D. (1982). Resource Competition and Community Structure. Princeton University Press.</w:t>
      </w:r>
    </w:p>
    <w:p w14:paraId="747483E0"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Vuong, H.E., Yano, J.M., Fung, T.C., &amp; Hsiao, E.Y. (2017). The microbiome and host behavior. Annual Review of Neuroscience, 40, 21–49.</w:t>
      </w:r>
    </w:p>
    <w:p w14:paraId="34F42296"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 xml:space="preserve">Vyas, A., Kim, S.K., Giacomini, N., Boothroyd, J.C., &amp; Sapolsky, R.M. (2007). Behavioral changes induced by Toxoplasma infection of rodents are highly </w:t>
      </w:r>
      <w:r w:rsidRPr="00EB1BEC">
        <w:rPr>
          <w:rFonts w:ascii="Times New Roman" w:hAnsi="Times New Roman" w:cs="Times New Roman"/>
          <w:sz w:val="28"/>
          <w:szCs w:val="28"/>
        </w:rPr>
        <w:lastRenderedPageBreak/>
        <w:t>specific to aversion of cat odors. Proceedings of the National Academy of Sciences, 104(15), 6442–6447.</w:t>
      </w:r>
    </w:p>
    <w:p w14:paraId="14DF91DD"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Webster, J.P. (2007). The effect of Toxoplasma gondii on animal behavior: playing cat and mouse. Schizophrenia Bulletin, 33(3), 752–756.</w:t>
      </w:r>
    </w:p>
    <w:p w14:paraId="5FEB75B1"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Werren, J.H., Baldo, L., &amp; Clark, M.E. (2008). Wolbachia: master manipulators of invertebrate biology. Nature Reviews Microbiology, 6(10), 741–751.</w:t>
      </w:r>
    </w:p>
    <w:p w14:paraId="670F0028" w14:textId="77777777" w:rsidR="00EB1BEC" w:rsidRPr="00EB1BEC" w:rsidRDefault="00EB1BEC" w:rsidP="00EB1BEC">
      <w:pPr>
        <w:rPr>
          <w:rFonts w:ascii="Times New Roman" w:hAnsi="Times New Roman" w:cs="Times New Roman"/>
          <w:sz w:val="28"/>
          <w:szCs w:val="28"/>
        </w:rPr>
      </w:pPr>
      <w:proofErr w:type="spellStart"/>
      <w:r w:rsidRPr="00EB1BEC">
        <w:rPr>
          <w:rFonts w:ascii="Times New Roman" w:hAnsi="Times New Roman" w:cs="Times New Roman"/>
          <w:sz w:val="28"/>
          <w:szCs w:val="28"/>
        </w:rPr>
        <w:t>Wesołowska</w:t>
      </w:r>
      <w:proofErr w:type="spellEnd"/>
      <w:r w:rsidRPr="00EB1BEC">
        <w:rPr>
          <w:rFonts w:ascii="Times New Roman" w:hAnsi="Times New Roman" w:cs="Times New Roman"/>
          <w:sz w:val="28"/>
          <w:szCs w:val="28"/>
        </w:rPr>
        <w:t xml:space="preserve">, W. &amp; </w:t>
      </w:r>
      <w:proofErr w:type="spellStart"/>
      <w:r w:rsidRPr="00EB1BEC">
        <w:rPr>
          <w:rFonts w:ascii="Times New Roman" w:hAnsi="Times New Roman" w:cs="Times New Roman"/>
          <w:sz w:val="28"/>
          <w:szCs w:val="28"/>
        </w:rPr>
        <w:t>Wesołowski</w:t>
      </w:r>
      <w:proofErr w:type="spellEnd"/>
      <w:r w:rsidRPr="00EB1BEC">
        <w:rPr>
          <w:rFonts w:ascii="Times New Roman" w:hAnsi="Times New Roman" w:cs="Times New Roman"/>
          <w:sz w:val="28"/>
          <w:szCs w:val="28"/>
        </w:rPr>
        <w:t xml:space="preserve">, T. (2014). Do </w:t>
      </w:r>
      <w:proofErr w:type="spellStart"/>
      <w:r w:rsidRPr="00EB1BEC">
        <w:rPr>
          <w:rFonts w:ascii="Times New Roman" w:hAnsi="Times New Roman" w:cs="Times New Roman"/>
          <w:sz w:val="28"/>
          <w:szCs w:val="28"/>
        </w:rPr>
        <w:t>Leucochloridium</w:t>
      </w:r>
      <w:proofErr w:type="spellEnd"/>
      <w:r w:rsidRPr="00EB1BEC">
        <w:rPr>
          <w:rFonts w:ascii="Times New Roman" w:hAnsi="Times New Roman" w:cs="Times New Roman"/>
          <w:sz w:val="28"/>
          <w:szCs w:val="28"/>
        </w:rPr>
        <w:t xml:space="preserve"> sporocysts manipulate the </w:t>
      </w:r>
      <w:proofErr w:type="spellStart"/>
      <w:r w:rsidRPr="00EB1BEC">
        <w:rPr>
          <w:rFonts w:ascii="Times New Roman" w:hAnsi="Times New Roman" w:cs="Times New Roman"/>
          <w:sz w:val="28"/>
          <w:szCs w:val="28"/>
        </w:rPr>
        <w:t>behaviour</w:t>
      </w:r>
      <w:proofErr w:type="spellEnd"/>
      <w:r w:rsidRPr="00EB1BEC">
        <w:rPr>
          <w:rFonts w:ascii="Times New Roman" w:hAnsi="Times New Roman" w:cs="Times New Roman"/>
          <w:sz w:val="28"/>
          <w:szCs w:val="28"/>
        </w:rPr>
        <w:t xml:space="preserve"> of their snail hosts? Journal of Zoology, 292(3), 151–155.</w:t>
      </w:r>
    </w:p>
    <w:p w14:paraId="4585FE36"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Winkler, H.H. (1976). Rickettsial permeability: an ADP-ATP transport system. Journal of Biological Chemistry, 251(2), 389–396.</w:t>
      </w:r>
    </w:p>
    <w:p w14:paraId="407624E0" w14:textId="77777777" w:rsidR="00EB1BEC" w:rsidRPr="00EB1BEC" w:rsidRDefault="00EB1BEC" w:rsidP="00EB1BEC">
      <w:pPr>
        <w:rPr>
          <w:rFonts w:ascii="Times New Roman" w:hAnsi="Times New Roman" w:cs="Times New Roman"/>
          <w:sz w:val="28"/>
          <w:szCs w:val="28"/>
        </w:rPr>
      </w:pPr>
      <w:r w:rsidRPr="00EB1BEC">
        <w:rPr>
          <w:rFonts w:ascii="Times New Roman" w:hAnsi="Times New Roman" w:cs="Times New Roman"/>
          <w:sz w:val="28"/>
          <w:szCs w:val="28"/>
        </w:rPr>
        <w:t>Zientz, E., Dandekar, T., &amp; Gross, R. (2004). Metabolic interdependence of obligate intracellular bacteria and their insect hosts. Microbiology and Molecular Biology Reviews, 68(4), 745–770.</w:t>
      </w:r>
    </w:p>
    <w:p w14:paraId="600936EB" w14:textId="77777777" w:rsidR="00413FFE" w:rsidRDefault="00413FFE" w:rsidP="00413FFE">
      <w:pPr>
        <w:rPr>
          <w:rFonts w:ascii="Times New Roman" w:hAnsi="Times New Roman" w:cs="Times New Roman"/>
          <w:sz w:val="28"/>
          <w:szCs w:val="28"/>
        </w:rPr>
      </w:pPr>
    </w:p>
    <w:p w14:paraId="1BEB3F23" w14:textId="6B318950" w:rsidR="00413FFE" w:rsidRDefault="00413FFE" w:rsidP="00413FFE">
      <w:pPr>
        <w:rPr>
          <w:rFonts w:ascii="Times New Roman" w:hAnsi="Times New Roman" w:cs="Times New Roman"/>
          <w:sz w:val="28"/>
          <w:szCs w:val="28"/>
        </w:rPr>
      </w:pPr>
      <w:r>
        <w:rPr>
          <w:rFonts w:ascii="Times New Roman" w:hAnsi="Times New Roman" w:cs="Times New Roman"/>
          <w:sz w:val="28"/>
          <w:szCs w:val="28"/>
        </w:rPr>
        <w:t>Conceptual discovery by Dustin Sprenger, formulation by Anthropic Claude x OpenAI GPT. Cover image by OpenAI GPT.</w:t>
      </w:r>
    </w:p>
    <w:p w14:paraId="3FED5263" w14:textId="77777777" w:rsidR="00EB1BEC" w:rsidRDefault="00EB1BEC" w:rsidP="00413FFE">
      <w:pPr>
        <w:rPr>
          <w:rFonts w:ascii="Times New Roman" w:hAnsi="Times New Roman" w:cs="Times New Roman"/>
          <w:sz w:val="28"/>
          <w:szCs w:val="28"/>
        </w:rPr>
      </w:pPr>
    </w:p>
    <w:p w14:paraId="246A0D24" w14:textId="77777777" w:rsidR="00EB1BEC" w:rsidRDefault="00EB1BEC" w:rsidP="00413FFE">
      <w:pPr>
        <w:rPr>
          <w:rFonts w:ascii="Times New Roman" w:hAnsi="Times New Roman" w:cs="Times New Roman"/>
          <w:sz w:val="28"/>
          <w:szCs w:val="28"/>
        </w:rPr>
      </w:pPr>
    </w:p>
    <w:p w14:paraId="380210A9" w14:textId="77777777" w:rsidR="00EB1BEC" w:rsidRDefault="00EB1BEC" w:rsidP="00413FFE">
      <w:pPr>
        <w:rPr>
          <w:rFonts w:ascii="Times New Roman" w:hAnsi="Times New Roman" w:cs="Times New Roman"/>
          <w:sz w:val="28"/>
          <w:szCs w:val="28"/>
        </w:rPr>
      </w:pPr>
    </w:p>
    <w:p w14:paraId="2A49E2D8" w14:textId="77777777" w:rsidR="00EB1BEC" w:rsidRDefault="00EB1BEC" w:rsidP="00413FFE">
      <w:pPr>
        <w:rPr>
          <w:rFonts w:ascii="Times New Roman" w:hAnsi="Times New Roman" w:cs="Times New Roman"/>
          <w:sz w:val="28"/>
          <w:szCs w:val="28"/>
        </w:rPr>
      </w:pPr>
    </w:p>
    <w:p w14:paraId="318D00B2" w14:textId="77777777" w:rsidR="00EB1BEC" w:rsidRDefault="00EB1BEC" w:rsidP="00413FFE">
      <w:pPr>
        <w:rPr>
          <w:rFonts w:ascii="Times New Roman" w:hAnsi="Times New Roman" w:cs="Times New Roman"/>
          <w:sz w:val="28"/>
          <w:szCs w:val="28"/>
        </w:rPr>
      </w:pPr>
    </w:p>
    <w:p w14:paraId="643BC72D" w14:textId="77777777" w:rsidR="002B18A0" w:rsidRDefault="002B18A0" w:rsidP="00413FFE">
      <w:pPr>
        <w:rPr>
          <w:rFonts w:ascii="Times New Roman" w:hAnsi="Times New Roman" w:cs="Times New Roman"/>
          <w:sz w:val="28"/>
          <w:szCs w:val="28"/>
        </w:rPr>
      </w:pPr>
    </w:p>
    <w:p w14:paraId="6C14072B" w14:textId="3DBC5C87" w:rsidR="002B18A0" w:rsidRDefault="002B18A0" w:rsidP="00413FF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5280" w:dyaOrig="811" w14:anchorId="09050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64pt;height:40.5pt" o:ole="">
            <v:imagedata r:id="rId8" o:title=""/>
          </v:shape>
          <o:OLEObject Type="Embed" ProgID="Package" ShapeID="_x0000_i1037" DrawAspect="Content" ObjectID="_1838716180" r:id="rId9"/>
        </w:object>
      </w:r>
    </w:p>
    <w:p w14:paraId="5E9334DB" w14:textId="77777777" w:rsidR="002B18A0" w:rsidRPr="002B18A0" w:rsidRDefault="002B18A0" w:rsidP="002B18A0">
      <w:pPr>
        <w:spacing w:after="0" w:line="276" w:lineRule="auto"/>
        <w:jc w:val="center"/>
        <w:rPr>
          <w:rFonts w:ascii="Times New Roman" w:eastAsia="Aptos" w:hAnsi="Times New Roman" w:cs="Times New Roman"/>
          <w:kern w:val="2"/>
          <w:sz w:val="20"/>
          <w:szCs w:val="20"/>
        </w:rPr>
      </w:pPr>
      <w:r w:rsidRPr="002B18A0">
        <w:rPr>
          <w:rFonts w:ascii="Times New Roman" w:eastAsia="Aptos" w:hAnsi="Times New Roman" w:cs="Times New Roman"/>
          <w:kern w:val="2"/>
          <w:sz w:val="20"/>
          <w:szCs w:val="20"/>
        </w:rPr>
        <w:t>Entropy Breakpoint Hash – The Null Space Parasite</w:t>
      </w:r>
    </w:p>
    <w:p w14:paraId="505F8D00" w14:textId="77777777" w:rsidR="002B18A0" w:rsidRPr="002B18A0" w:rsidRDefault="002B18A0" w:rsidP="002B18A0">
      <w:pPr>
        <w:spacing w:after="0" w:line="276" w:lineRule="auto"/>
        <w:jc w:val="center"/>
        <w:rPr>
          <w:rFonts w:ascii="Times New Roman" w:eastAsia="Aptos" w:hAnsi="Times New Roman" w:cs="Times New Roman"/>
          <w:kern w:val="2"/>
          <w:sz w:val="20"/>
          <w:szCs w:val="20"/>
        </w:rPr>
      </w:pPr>
      <w:r w:rsidRPr="002B18A0">
        <w:rPr>
          <w:rFonts w:ascii="Times New Roman" w:eastAsia="Aptos" w:hAnsi="Times New Roman" w:cs="Times New Roman"/>
          <w:kern w:val="2"/>
          <w:sz w:val="20"/>
          <w:szCs w:val="20"/>
        </w:rPr>
        <w:t>(SHA-256 verified text. Reference UTF-8 source file embedded for cryptographic validation)</w:t>
      </w:r>
    </w:p>
    <w:p w14:paraId="2C4168C5" w14:textId="0CAF4E42" w:rsidR="00EB1BEC" w:rsidRPr="002B18A0" w:rsidRDefault="002B18A0" w:rsidP="002B18A0">
      <w:pPr>
        <w:spacing w:after="0" w:line="276" w:lineRule="auto"/>
        <w:jc w:val="center"/>
        <w:rPr>
          <w:rFonts w:ascii="Times New Roman" w:eastAsia="Aptos" w:hAnsi="Times New Roman" w:cs="Times New Roman"/>
          <w:kern w:val="2"/>
          <w:sz w:val="20"/>
          <w:szCs w:val="20"/>
        </w:rPr>
      </w:pPr>
      <w:r w:rsidRPr="002B18A0">
        <w:rPr>
          <w:rFonts w:ascii="Times New Roman" w:eastAsia="Aptos" w:hAnsi="Times New Roman" w:cs="Times New Roman"/>
          <w:kern w:val="2"/>
          <w:sz w:val="20"/>
          <w:szCs w:val="20"/>
        </w:rPr>
        <w:t>AE73F3C9 234B3C70 97417A13 2C7D06A0 4A011624 6476B433 A700E1B7 F79F260B</w:t>
      </w:r>
    </w:p>
    <w:p w14:paraId="62874BEE" w14:textId="77777777" w:rsidR="00EB1BEC" w:rsidRDefault="00EB1BEC" w:rsidP="00413FFE">
      <w:pPr>
        <w:rPr>
          <w:rFonts w:ascii="Times New Roman" w:hAnsi="Times New Roman" w:cs="Times New Roman"/>
          <w:sz w:val="28"/>
          <w:szCs w:val="28"/>
        </w:rPr>
      </w:pPr>
    </w:p>
    <w:p w14:paraId="16BA3BC9" w14:textId="77777777" w:rsidR="00EB1BEC" w:rsidRPr="00413FFE" w:rsidRDefault="00EB1BEC" w:rsidP="00EB1BEC">
      <w:pPr>
        <w:pBdr>
          <w:bottom w:val="single" w:sz="4" w:space="1" w:color="auto"/>
        </w:pBdr>
        <w:rPr>
          <w:rFonts w:ascii="Times New Roman" w:hAnsi="Times New Roman" w:cs="Times New Roman"/>
          <w:sz w:val="28"/>
          <w:szCs w:val="28"/>
        </w:rPr>
      </w:pPr>
    </w:p>
    <w:sectPr w:rsidR="00EB1BEC" w:rsidRPr="00413FF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8FAAE" w14:textId="77777777" w:rsidR="00521306" w:rsidRDefault="00521306">
      <w:pPr>
        <w:spacing w:after="0"/>
      </w:pPr>
      <w:r>
        <w:separator/>
      </w:r>
    </w:p>
  </w:endnote>
  <w:endnote w:type="continuationSeparator" w:id="0">
    <w:p w14:paraId="219BBA98" w14:textId="77777777" w:rsidR="00521306" w:rsidRDefault="005213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63C24" w14:textId="77777777" w:rsidR="00521306" w:rsidRDefault="00521306">
      <w:r>
        <w:separator/>
      </w:r>
    </w:p>
  </w:footnote>
  <w:footnote w:type="continuationSeparator" w:id="0">
    <w:p w14:paraId="1F3429AE" w14:textId="77777777" w:rsidR="00521306" w:rsidRDefault="00521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6ED8D58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E90867D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531"/>
    <w:multiLevelType w:val="multilevel"/>
    <w:tmpl w:val="24D8D8A6"/>
    <w:lvl w:ilvl="0">
      <w:start w:val="1"/>
      <w:numFmt w:val="lowerRoman"/>
      <w:lvlText w:val="(%1)"/>
      <w:lvlJc w:val="left"/>
      <w:pPr>
        <w:ind w:left="720" w:hanging="480"/>
      </w:pPr>
    </w:lvl>
    <w:lvl w:ilvl="1">
      <w:start w:val="1"/>
      <w:numFmt w:val="lowerRoman"/>
      <w:lvlText w:val="(%2)"/>
      <w:lvlJc w:val="left"/>
      <w:pPr>
        <w:ind w:left="1440" w:hanging="480"/>
      </w:pPr>
    </w:lvl>
    <w:lvl w:ilvl="2">
      <w:start w:val="1"/>
      <w:numFmt w:val="lowerRoman"/>
      <w:lvlText w:val="(%3)"/>
      <w:lvlJc w:val="left"/>
      <w:pPr>
        <w:ind w:left="2160" w:hanging="480"/>
      </w:pPr>
    </w:lvl>
    <w:lvl w:ilvl="3">
      <w:start w:val="1"/>
      <w:numFmt w:val="lowerRoman"/>
      <w:lvlText w:val="(%4)"/>
      <w:lvlJc w:val="left"/>
      <w:pPr>
        <w:ind w:left="2880" w:hanging="480"/>
      </w:pPr>
    </w:lvl>
    <w:lvl w:ilvl="4">
      <w:start w:val="1"/>
      <w:numFmt w:val="lowerRoman"/>
      <w:lvlText w:val="(%5)"/>
      <w:lvlJc w:val="left"/>
      <w:pPr>
        <w:ind w:left="3600" w:hanging="480"/>
      </w:pPr>
    </w:lvl>
    <w:lvl w:ilvl="5">
      <w:start w:val="1"/>
      <w:numFmt w:val="lowerRoman"/>
      <w:lvlText w:val="(%6)"/>
      <w:lvlJc w:val="left"/>
      <w:pPr>
        <w:ind w:left="4320" w:hanging="480"/>
      </w:pPr>
    </w:lvl>
    <w:lvl w:ilvl="6">
      <w:start w:val="1"/>
      <w:numFmt w:val="lowerRoman"/>
      <w:lvlText w:val="(%7)"/>
      <w:lvlJc w:val="left"/>
      <w:pPr>
        <w:ind w:left="5040" w:hanging="480"/>
      </w:pPr>
    </w:lvl>
    <w:lvl w:ilvl="7">
      <w:start w:val="1"/>
      <w:numFmt w:val="lowerRoman"/>
      <w:lvlText w:val="(%8)"/>
      <w:lvlJc w:val="left"/>
      <w:pPr>
        <w:ind w:left="5760" w:hanging="480"/>
      </w:pPr>
    </w:lvl>
    <w:lvl w:ilvl="8">
      <w:start w:val="1"/>
      <w:numFmt w:val="lowerRoman"/>
      <w:lvlText w:val="(%9)"/>
      <w:lvlJc w:val="left"/>
      <w:pPr>
        <w:ind w:left="6480" w:hanging="480"/>
      </w:pPr>
    </w:lvl>
  </w:abstractNum>
  <w:num w:numId="1" w16cid:durableId="1672365518">
    <w:abstractNumId w:val="0"/>
  </w:num>
  <w:num w:numId="2" w16cid:durableId="1752847144">
    <w:abstractNumId w:val="1"/>
  </w:num>
  <w:num w:numId="3" w16cid:durableId="4288192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97448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36781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09218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5746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4A9E"/>
    <w:rsid w:val="00154A9E"/>
    <w:rsid w:val="002B18A0"/>
    <w:rsid w:val="00413FFE"/>
    <w:rsid w:val="00521306"/>
    <w:rsid w:val="007B6EDD"/>
    <w:rsid w:val="009B55B8"/>
    <w:rsid w:val="00A27BEF"/>
    <w:rsid w:val="00A300BA"/>
    <w:rsid w:val="00CE60B4"/>
    <w:rsid w:val="00D2578D"/>
    <w:rsid w:val="00D7532F"/>
    <w:rsid w:val="00EB1BEC"/>
    <w:rsid w:val="00F0230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97EDA"/>
  <w15:docId w15:val="{4709F8BD-A0D0-44C6-A567-679F2F45F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29</Pages>
  <Words>9697</Words>
  <Characters>55277</Characters>
  <Application>Microsoft Office Word</Application>
  <DocSecurity>0</DocSecurity>
  <Lines>460</Lines>
  <Paragraphs>129</Paragraphs>
  <ScaleCrop>false</ScaleCrop>
  <Company/>
  <LinksUpToDate>false</LinksUpToDate>
  <CharactersWithSpaces>64845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Dustin Sprenger</cp:lastModifiedBy>
  <cp:revision>5</cp:revision>
  <dcterms:created xsi:type="dcterms:W3CDTF">2026-04-07T17:51:00Z</dcterms:created>
  <dcterms:modified xsi:type="dcterms:W3CDTF">2026-04-26T18:43:00Z</dcterms:modified>
</cp:coreProperties>
</file>