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4F3863" w14:textId="77777777" w:rsidR="003E3468" w:rsidRPr="000E3718" w:rsidRDefault="000E3718" w:rsidP="005307B5">
      <w:pPr>
        <w:spacing w:line="276" w:lineRule="auto"/>
      </w:pPr>
      <w:r>
        <w:rPr>
          <w:noProof/>
        </w:rPr>
        <w:drawing>
          <wp:anchor distT="0" distB="0" distL="114300" distR="114300" simplePos="0" relativeHeight="251658240" behindDoc="1" locked="0" layoutInCell="1" allowOverlap="1" wp14:anchorId="25A01A2F" wp14:editId="02B15AFE">
            <wp:simplePos x="0" y="0"/>
            <wp:positionH relativeFrom="margin">
              <wp:posOffset>-1114425</wp:posOffset>
            </wp:positionH>
            <wp:positionV relativeFrom="paragraph">
              <wp:posOffset>-1752600</wp:posOffset>
            </wp:positionV>
            <wp:extent cx="8210550" cy="12144375"/>
            <wp:effectExtent l="0" t="0" r="0" b="9525"/>
            <wp:wrapNone/>
            <wp:docPr id="181311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11083" name="Picture 181311083"/>
                    <pic:cNvPicPr/>
                  </pic:nvPicPr>
                  <pic:blipFill>
                    <a:blip r:embed="rId5">
                      <a:extLst>
                        <a:ext uri="{28A0092B-C50C-407E-A947-70E740481C1C}">
                          <a14:useLocalDpi xmlns:a14="http://schemas.microsoft.com/office/drawing/2010/main" val="0"/>
                        </a:ext>
                      </a:extLst>
                    </a:blip>
                    <a:stretch>
                      <a:fillRect/>
                    </a:stretch>
                  </pic:blipFill>
                  <pic:spPr>
                    <a:xfrm>
                      <a:off x="0" y="0"/>
                      <a:ext cx="8210550" cy="12144375"/>
                    </a:xfrm>
                    <a:prstGeom prst="rect">
                      <a:avLst/>
                    </a:prstGeom>
                  </pic:spPr>
                </pic:pic>
              </a:graphicData>
            </a:graphic>
            <wp14:sizeRelH relativeFrom="margin">
              <wp14:pctWidth>0</wp14:pctWidth>
            </wp14:sizeRelH>
          </wp:anchor>
        </w:drawing>
      </w:r>
      <w:r>
        <w:br w:type="page"/>
      </w:r>
    </w:p>
    <w:p w14:paraId="2832D275" w14:textId="45C9D058" w:rsidR="003E3468" w:rsidRPr="005307B5" w:rsidRDefault="00000000" w:rsidP="000E3718">
      <w:pPr>
        <w:spacing w:after="120" w:line="276" w:lineRule="auto"/>
        <w:jc w:val="center"/>
        <w:rPr>
          <w:color w:val="595959" w:themeColor="text1" w:themeTint="A6"/>
          <w:sz w:val="130"/>
          <w:szCs w:val="130"/>
        </w:rPr>
      </w:pPr>
      <w:r>
        <w:rPr>
          <w:b/>
          <w:bCs/>
          <w:color w:val="595959" w:themeColor="text1" w:themeTint="A6"/>
          <w:sz w:val="130"/>
          <w:szCs w:val="130"/>
        </w:rPr>
        <w:lastRenderedPageBreak/>
        <w:t>THE PRIMORDIAL LOOP (v2)</w:t>
      </w:r>
    </w:p>
    <w:p w14:paraId="40C09797" w14:textId="77777777" w:rsidR="003E3468" w:rsidRPr="000E3718" w:rsidRDefault="003E3468" w:rsidP="000E3718">
      <w:pPr>
        <w:spacing w:after="200" w:line="276" w:lineRule="auto"/>
      </w:pPr>
    </w:p>
    <w:p w14:paraId="37844177" w14:textId="77777777" w:rsidR="005307B5" w:rsidRDefault="00B90117" w:rsidP="005307B5">
      <w:pPr>
        <w:spacing w:after="120" w:line="276" w:lineRule="auto"/>
        <w:jc w:val="center"/>
        <w:rPr>
          <w:sz w:val="40"/>
          <w:szCs w:val="40"/>
        </w:rPr>
      </w:pPr>
      <w:r>
        <w:rPr>
          <w:sz w:val="40"/>
          <w:szCs w:val="40"/>
        </w:rPr>
        <w:t>Structural Regressions in Human Sexual Behavior: From Oral Consumption to Cloacal Reversion</w:t>
      </w:r>
    </w:p>
    <w:p w14:paraId="67D04240" w14:textId="77777777" w:rsidR="00B90117" w:rsidRPr="005307B5" w:rsidRDefault="00B90117" w:rsidP="005307B5">
      <w:pPr>
        <w:spacing w:after="120" w:line="276" w:lineRule="auto"/>
        <w:jc w:val="center"/>
        <w:rPr>
          <w:sz w:val="40"/>
          <w:szCs w:val="40"/>
        </w:rPr>
      </w:pPr>
    </w:p>
    <w:p w14:paraId="3B8A9127" w14:textId="77777777" w:rsidR="003E3468" w:rsidRPr="000E3718" w:rsidRDefault="00000000" w:rsidP="000E3718">
      <w:pPr>
        <w:spacing w:after="160" w:line="276" w:lineRule="auto"/>
        <w:ind w:left="720" w:right="720"/>
      </w:pPr>
      <w:r>
        <w:rPr>
          <w:i/>
          <w:iCs/>
        </w:rPr>
        <w:t>"The zones which no longer produce a release of sexuality in normal and mature human beings must be the regions of the anus and of the mouth and the throat. In animals these sexual zones continue in force in both respects; if this persists in human beings too, perversion results." — Sigmund Freud, Standard Edition, Volume I, p. 269</w:t>
      </w:r>
    </w:p>
    <w:p w14:paraId="4DEF6154" w14:textId="77777777" w:rsidR="003E3468" w:rsidRPr="000E3718" w:rsidRDefault="003E3468" w:rsidP="000E3718">
      <w:pPr>
        <w:spacing w:after="200" w:line="276" w:lineRule="auto"/>
      </w:pPr>
    </w:p>
    <w:p w14:paraId="7375BD63" w14:textId="77777777" w:rsidR="003E3468" w:rsidRPr="000E3718" w:rsidRDefault="00000000" w:rsidP="005307B5">
      <w:pPr>
        <w:spacing w:after="160" w:line="276" w:lineRule="auto"/>
        <w:ind w:left="720" w:right="720"/>
      </w:pPr>
      <w:r>
        <w:rPr>
          <w:i/>
          <w:iCs/>
        </w:rPr>
        <w:t>"We must assume that in infancy the release of sexuality is not yet so much localized as it is later, so that the zones which are later abandoned also instigate something that is analogous to the later release of sexuality. The extinction of these initial sexual zones would have a counterpart in the atrophy of certain internal organs in the course of development." — Sigmund Freud, Standard Edition, Volume I, p. 269</w:t>
      </w:r>
    </w:p>
    <w:p w14:paraId="06EF720F" w14:textId="77777777" w:rsidR="003E3468" w:rsidRPr="005307B5" w:rsidRDefault="00000000" w:rsidP="005307B5">
      <w:pPr>
        <w:spacing w:after="240" w:line="276" w:lineRule="auto"/>
        <w:rPr>
          <w:b/>
          <w:bCs/>
          <w:sz w:val="34"/>
          <w:szCs w:val="34"/>
        </w:rPr>
      </w:pPr>
      <w:r>
        <w:rPr>
          <w:b/>
          <w:bCs/>
          <w:sz w:val="34"/>
          <w:szCs w:val="34"/>
        </w:rPr>
        <w:lastRenderedPageBreak/>
        <w:t>Abstract</w:t>
      </w:r>
    </w:p>
    <w:p w14:paraId="2AF75CED" w14:textId="77777777" w:rsidR="003E3468" w:rsidRPr="000E3718" w:rsidRDefault="00000000" w:rsidP="000E3718">
      <w:pPr>
        <w:spacing w:after="200" w:line="276" w:lineRule="auto"/>
        <w:jc w:val="both"/>
      </w:pPr>
      <w:r>
        <w:t>This paper identifies three categories of human sexual behavior—oral-vaginal contact, oral-penile contact, and anal intercourse—as structural regressions to progressively earlier stages of evolutionary and developmental history. The analysis is mechanical, not moral. Each behavior is mapped to its primordial structural antecedent: oral-vaginal contact to the birth canal transit and its founding microbiome colonization event; oral-penile contact to the suckling reflex and its phagocytic ancestry; anal intercourse to the pre-mammalian cloaca and the undifferentiated blastopore. Each regression reactivates neural circuits that normal psychosexual development, mediated by prefrontal inhibitory maturation, progressively extinguishes. Each regression creates a high-bandwidth microbial transfer pathway between host organisms. When the transferred microbiome modulates the neural axes governing behavioral selection, a closed feedback loop emerges: the behavior transfers biological material, the transferred material modifies the host’s drive and inhibitory systems, the modified systems amplify the drive toward further behavior. This loop—the primordial loop—operates through the same structural mechanism at every scale: from bacterial phagocytosis to human sexual conduct, the consumption of conspecific biological material through an oral or cloacal opening produces state changes in the consumer that favor repetition. The paper derives these conclusions from evolutionary biology, developmental neuroscience, Freudian psychosexual theory, and microbiome science. No moral vocabulary is employed. The biology is sufficient.</w:t>
      </w:r>
    </w:p>
    <w:p w14:paraId="6EB4C1C4" w14:textId="77777777" w:rsidR="003E3468" w:rsidRPr="000E3718" w:rsidRDefault="003E3468" w:rsidP="000E3718">
      <w:pPr>
        <w:pBdr>
          <w:bottom w:val="single" w:sz="4" w:space="1" w:color="auto"/>
        </w:pBdr>
        <w:spacing w:line="276" w:lineRule="auto"/>
      </w:pPr>
    </w:p>
    <w:p w14:paraId="277A7BF5" w14:textId="77777777" w:rsidR="003E3468" w:rsidRPr="005307B5" w:rsidRDefault="00000000" w:rsidP="005307B5">
      <w:pPr>
        <w:spacing w:before="240" w:after="240" w:line="276" w:lineRule="auto"/>
        <w:rPr>
          <w:b/>
          <w:bCs/>
          <w:sz w:val="34"/>
          <w:szCs w:val="34"/>
        </w:rPr>
      </w:pPr>
      <w:r>
        <w:rPr>
          <w:b/>
          <w:bCs/>
          <w:sz w:val="34"/>
          <w:szCs w:val="34"/>
        </w:rPr>
        <w:t>I. The Structural Operation</w:t>
      </w:r>
    </w:p>
    <w:p w14:paraId="20F2344E" w14:textId="77777777" w:rsidR="003E3468" w:rsidRPr="000E3718" w:rsidRDefault="00000000" w:rsidP="000E3718">
      <w:pPr>
        <w:spacing w:after="200" w:line="276" w:lineRule="auto"/>
        <w:jc w:val="both"/>
      </w:pPr>
      <w:r>
        <w:t>We begin with a definition. Let a structural operation be an interaction between two organisms in which biological material from one organism is incorporated into another organism through a specialized opening, producing a measurable state change in the recipient. This definition is satisfied by phagocytosis, by breastfeeding, by birth canal transit, by sexual intercourse, and by every behavior this paper examines. The definition is neutral with respect to valence, purpose, or morality. It describes a physical operation.</w:t>
      </w:r>
    </w:p>
    <w:p w14:paraId="06CD6710" w14:textId="77777777" w:rsidR="003E3468" w:rsidRPr="000E3718" w:rsidRDefault="00000000" w:rsidP="000E3718">
      <w:pPr>
        <w:spacing w:line="276" w:lineRule="auto"/>
        <w:jc w:val="both"/>
      </w:pPr>
      <w:r>
        <w:lastRenderedPageBreak/>
        <w:t>Phagocytosis is the oldest structural operation in the history of life. A single-celled organism extends pseudopodia around another organism, envelops it, and incorporates its biological material into an internal vesicle. The consumer’s biochemical state is modified by the consumed material. The operation is approximately 2.5 billion years old. It precedes multicellularity. It precedes sexual reproduction. It precedes the nervous system. It is the foundation upon which every subsequent form of biological incorporation was built.</w:t>
      </w:r>
    </w:p>
    <w:p w14:paraId="10F7724F" w14:textId="77777777" w:rsidR="000E3718" w:rsidRDefault="000E3718" w:rsidP="000E3718">
      <w:pPr>
        <w:spacing w:line="276" w:lineRule="auto"/>
        <w:jc w:val="both"/>
      </w:pPr>
      <w:r>
        <w:t xml:space="preserve">  Bacterial conjugation is the oldest sexual operation. Two bacteria form a direct physical connection—the pilus—through which genetic material is transferred from donor to recipient. The recipient’s genetic state is modified by the transferred material. The operation does not require differentiated sexual organs. It requires only contact, transfer, and incorporation. It is structurally identical to phagocytosis in its essential features: one organism’s biological material enters another organism and modifies the recipient’s state.</w:t>
      </w:r>
    </w:p>
    <w:p w14:paraId="7FE8FB97" w14:textId="77777777" w:rsidR="003E3468" w:rsidRDefault="000E3718" w:rsidP="000E3718">
      <w:pPr>
        <w:spacing w:line="276" w:lineRule="auto"/>
        <w:jc w:val="both"/>
      </w:pPr>
      <w:r>
        <w:t xml:space="preserve">  The thesis of this paper is that three categories of human sexual behavior recapitulate these primordial operations through the same structural mechanism—incorporation of conspecific biological material through a specialized opening, producing state changes that favor repetition—and that each category corresponds to a specific regression point in the evolutionary and developmental hierarchy.</w:t>
      </w:r>
    </w:p>
    <w:p w14:paraId="2808C738" w14:textId="77777777" w:rsidR="000E3718" w:rsidRPr="000E3718" w:rsidRDefault="000E3718" w:rsidP="000E3718">
      <w:pPr>
        <w:pBdr>
          <w:bottom w:val="single" w:sz="4" w:space="1" w:color="auto"/>
        </w:pBdr>
        <w:spacing w:after="200" w:line="276" w:lineRule="auto"/>
        <w:jc w:val="both"/>
      </w:pPr>
    </w:p>
    <w:p w14:paraId="73CF7074" w14:textId="77777777" w:rsidR="003E3468" w:rsidRPr="00DA01C6" w:rsidRDefault="00000000" w:rsidP="005307B5">
      <w:pPr>
        <w:spacing w:after="240" w:line="276" w:lineRule="auto"/>
        <w:rPr>
          <w:b/>
          <w:bCs/>
          <w:sz w:val="34"/>
          <w:szCs w:val="34"/>
        </w:rPr>
      </w:pPr>
      <w:r>
        <w:rPr>
          <w:b/>
          <w:bCs/>
          <w:sz w:val="34"/>
          <w:szCs w:val="34"/>
        </w:rPr>
        <w:t>II. The Regression Hierarchy</w:t>
      </w:r>
    </w:p>
    <w:p w14:paraId="781A0C6C" w14:textId="77777777" w:rsidR="003E3468" w:rsidRPr="00DA01C6" w:rsidRDefault="00000000" w:rsidP="005307B5">
      <w:pPr>
        <w:spacing w:after="240" w:line="276" w:lineRule="auto"/>
        <w:rPr>
          <w:b/>
          <w:bCs/>
          <w:sz w:val="34"/>
          <w:szCs w:val="34"/>
        </w:rPr>
      </w:pPr>
      <w:r>
        <w:rPr>
          <w:b/>
          <w:bCs/>
          <w:sz w:val="34"/>
          <w:szCs w:val="34"/>
        </w:rPr>
        <w:t>II.1. First Regression: Oral-Vaginal Contact and the Birth Event</w:t>
      </w:r>
    </w:p>
    <w:p w14:paraId="1A5B75DC" w14:textId="77777777" w:rsidR="003E3468" w:rsidRPr="000E3718" w:rsidRDefault="00000000" w:rsidP="000E3718">
      <w:pPr>
        <w:spacing w:after="200" w:line="276" w:lineRule="auto"/>
        <w:jc w:val="both"/>
      </w:pPr>
      <w:r>
        <w:t>The first sensory experience of a vaginally born human being is full-surface immersion of the face, mouth, and nasal passages in vaginal mucosa, cervical secretions, and blood during passage through the birth canal. This is not incidental contact. It is sustained, high-intensity exposure occurring during the most extreme physiological event the organism has yet experienced. The olfactory, gustatory, and somatosensory signatures of vaginal biological material are encoded in the most primitive neural circuits available—the olfactory bulb, which projects directly to limbic structures without thalamic relay, the brainstem, and the enteric nervous system.</w:t>
      </w:r>
    </w:p>
    <w:p w14:paraId="41C53EAE" w14:textId="77777777" w:rsidR="003E3468" w:rsidRPr="000E3718" w:rsidRDefault="00000000" w:rsidP="000E3718">
      <w:pPr>
        <w:spacing w:line="276" w:lineRule="auto"/>
        <w:jc w:val="both"/>
      </w:pPr>
      <w:r>
        <w:lastRenderedPageBreak/>
        <w:t>This encoding is pre-cortical. The prefrontal cortex has not begun its decades-long myelination. No inhibitory architecture exists to filter or contextualize the sensory input. The experience is written into neural hardware that predates consciousness, predates language, and predates every subsequent memory the organism will form. It is not stored as a retrievable memory. It is stored as a baseline sensory signature—what the world tastes and smells like at the moment of emergence into it.</w:t>
      </w:r>
    </w:p>
    <w:p w14:paraId="4702772C" w14:textId="77777777" w:rsidR="003E3468" w:rsidRPr="000E3718" w:rsidRDefault="000E3718" w:rsidP="000E3718">
      <w:pPr>
        <w:spacing w:line="276" w:lineRule="auto"/>
        <w:jc w:val="both"/>
      </w:pPr>
      <w:r>
        <w:t xml:space="preserve">  Dominguez-Bello et al. (2010) demonstrated that vaginally born infants acquire their founding gut microbiome directly from the birth canal during this transit. The mouth-vaginal contact during birth is the primary microbiome seeding event in human life. Infants born by Caesarean section, who do not experience this oral-vaginal contact, develop measurably different microbiome compositions that persist for months. The birth canal transit is therefore not merely a sensory event. It is the founding microbial colonization of the human organism—the first meal, the first inoculation, the first biological incorporation from the external world.</w:t>
      </w:r>
    </w:p>
    <w:p w14:paraId="44A2A448" w14:textId="77777777" w:rsidR="003E3468" w:rsidRPr="000E3718" w:rsidRDefault="000E3718" w:rsidP="000E3718">
      <w:pPr>
        <w:spacing w:after="200" w:line="276" w:lineRule="auto"/>
        <w:jc w:val="both"/>
      </w:pPr>
      <w:r>
        <w:t xml:space="preserve">  Cunnilingus reactivates this circuit. The structural operation is identical: oral and nasal mucosa in sustained contact with vaginal biological material. The sensory modalities are the same—taste, smell, texture, temperature. The microbial transfer pathway is the same—vaginal microbiome to oral cavity to gut. The neural circuits activated are the same limbic and brainstem circuits that encoded the birth event, because these circuits were the first to encode vaginal contact and remain the most responsive to it. The behavior is a regression to the earliest extrauterine experience the organism possesses. The subjective sense of profound intimacy that accompanies the act is the reactivation of the birth bond—the deepest comfort the body knows, re-experienced through the same neural hardware that first encoded it.</w:t>
      </w:r>
    </w:p>
    <w:p w14:paraId="2E853B12" w14:textId="77777777" w:rsidR="003E3468" w:rsidRPr="005307B5" w:rsidRDefault="00000000" w:rsidP="005307B5">
      <w:pPr>
        <w:spacing w:after="240" w:line="276" w:lineRule="auto"/>
        <w:rPr>
          <w:b/>
          <w:bCs/>
          <w:sz w:val="34"/>
          <w:szCs w:val="34"/>
        </w:rPr>
      </w:pPr>
      <w:r>
        <w:rPr>
          <w:b/>
          <w:bCs/>
          <w:sz w:val="34"/>
          <w:szCs w:val="34"/>
        </w:rPr>
        <w:t>II.2. Second Regression: Oral-Penile Contact and the Suckling Reflex</w:t>
      </w:r>
    </w:p>
    <w:p w14:paraId="4837DE02" w14:textId="77777777" w:rsidR="003E3468" w:rsidRPr="000E3718" w:rsidRDefault="00000000" w:rsidP="000E3718">
      <w:pPr>
        <w:spacing w:after="200" w:line="276" w:lineRule="auto"/>
        <w:jc w:val="both"/>
      </w:pPr>
      <w:r>
        <w:t>Freud identified in his study of Leonardo da Vinci (Standard Edition, Volume XI, p. 86) that the inclination to take a man’s sexual organ into the mouth “only repeats in a different form a situation in which we all once felt comfortable—when we were still in our suckling days and took our mother’s (or wet-nurse’s) nipple into our mouth and sucked at it.” The organic impression of this experience, Freud noted, “doubtless remains indelibly printed on us.”</w:t>
      </w:r>
    </w:p>
    <w:p w14:paraId="224CBC9C" w14:textId="77777777" w:rsidR="003E3468" w:rsidRPr="000E3718" w:rsidRDefault="00000000" w:rsidP="000E3718">
      <w:pPr>
        <w:spacing w:line="276" w:lineRule="auto"/>
        <w:jc w:val="both"/>
      </w:pPr>
      <w:r>
        <w:lastRenderedPageBreak/>
        <w:t>The mechanical basis is precise. The suckling reflex is one of the earliest post-natal motor programs—present at birth, essential for survival, activated through the oral-tactile circuit. The nipple enters the mouth. The mouth creates suction. Milk—biological material from the mother—is consumed. Oxytocin is released in both mother and infant, consolidating the bond. The neural encoding pairs oral-tactile stimulation with reward, nourishment, safety, and maternal proximity. This encoding is deep, pre-verbal, and resistant to extinction because it was formed during a developmental period when the prefrontal inhibitory system did not yet exist.</w:t>
      </w:r>
    </w:p>
    <w:p w14:paraId="74EC63E4" w14:textId="77777777" w:rsidR="003E3468" w:rsidRPr="000E3718" w:rsidRDefault="000E3718" w:rsidP="000E3718">
      <w:pPr>
        <w:spacing w:line="276" w:lineRule="auto"/>
        <w:jc w:val="both"/>
      </w:pPr>
      <w:r>
        <w:t xml:space="preserve">  Fellatio substitutes the penile shaft for the nipple. The oral-tactile motor program is the same—insertion, suction, rhythmic movement. The consumed biological material—seminal fluid—contains proteins, fructose, enzymes, zinc, prostaglandins, microRNA, exosomes, and a complex microbial ecology. The oral mucosa absorbs a portion of these constituents through sublingual and buccal pathways. The structural operation is consumption of conspecific reproductive biological material through the feeding apparatus. The word for consumption of conspecific biological material through the feeding apparatus is cannibalism. The word is not employed for rhetorical effect. It is the structurally accurate designation.</w:t>
      </w:r>
    </w:p>
    <w:p w14:paraId="2BC11D03" w14:textId="77777777" w:rsidR="003E3468" w:rsidRPr="000E3718" w:rsidRDefault="000E3718" w:rsidP="000E3718">
      <w:pPr>
        <w:spacing w:after="200" w:line="276" w:lineRule="auto"/>
        <w:jc w:val="both"/>
      </w:pPr>
      <w:r>
        <w:t xml:space="preserve">  The regression hierarchy places this behavior after the birth regression in developmental chronology: breastfeeding follows birth. The circuit being reactivated is therefore more recent than the birth-canal circuit but still pre-verbal and pre-cortical. Both regressions reactivate circuits that the maturation of prefrontal inhibitory architecture—what Freud called the extinction of infantile erotogenic zones, and what modern neuroscience maps to GABAergic system development—should have rendered functionally dormant.</w:t>
      </w:r>
    </w:p>
    <w:p w14:paraId="2A82C73F" w14:textId="77777777" w:rsidR="003E3468" w:rsidRPr="005307B5" w:rsidRDefault="00000000" w:rsidP="005307B5">
      <w:pPr>
        <w:spacing w:after="240" w:line="276" w:lineRule="auto"/>
        <w:rPr>
          <w:b/>
          <w:bCs/>
          <w:sz w:val="34"/>
          <w:szCs w:val="34"/>
        </w:rPr>
      </w:pPr>
      <w:r>
        <w:rPr>
          <w:b/>
          <w:bCs/>
          <w:sz w:val="34"/>
          <w:szCs w:val="34"/>
        </w:rPr>
        <w:t>II.3. Third Regression: Anal Intercourse and the Cloacal Reversion</w:t>
      </w:r>
    </w:p>
    <w:p w14:paraId="7622767A" w14:textId="77777777" w:rsidR="003E3468" w:rsidRPr="000E3718" w:rsidRDefault="00000000" w:rsidP="000E3718">
      <w:pPr>
        <w:spacing w:line="276" w:lineRule="auto"/>
        <w:jc w:val="both"/>
      </w:pPr>
      <w:r>
        <w:t xml:space="preserve">In reptiles, birds, amphibians, and monotreme mammals, a single opening—the cloaca—serves simultaneously as the exit for the reproductive, urinary, and digestive tracts. The cloaca is the ancestral condition. Placental mammalian evolution differentiated this single opening into three separate systems, each with its own exit. The separation of reproductive, excretory, and eliminative function into distinct anatomical pathways is one of the defining achievements of mammalian anatomical </w:t>
      </w:r>
      <w:r>
        <w:lastRenderedPageBreak/>
        <w:t>development. The process required approximately 200 million years of selective pressure.</w:t>
      </w:r>
    </w:p>
    <w:p w14:paraId="2328282C" w14:textId="77777777" w:rsidR="003E3468" w:rsidRPr="000E3718" w:rsidRDefault="000E3718" w:rsidP="000E3718">
      <w:pPr>
        <w:spacing w:line="276" w:lineRule="auto"/>
        <w:jc w:val="both"/>
      </w:pPr>
      <w:r>
        <w:t xml:space="preserve">  Anal intercourse reverses this differentiation. It employs the eliminative opening for a reproductive or sexual function—which is the ancestral cloacal condition that mammalian evolution specifically differentiated away from. The behavior is not morally regressive. It is structurally regressive: a reversion to the pre-mammalian conflation of reproductive and eliminative function through a single opening.</w:t>
      </w:r>
    </w:p>
    <w:p w14:paraId="5699F195" w14:textId="77777777" w:rsidR="003E3468" w:rsidRPr="000E3718" w:rsidRDefault="000E3718" w:rsidP="000E3718">
      <w:pPr>
        <w:spacing w:line="276" w:lineRule="auto"/>
        <w:jc w:val="both"/>
      </w:pPr>
      <w:r>
        <w:t xml:space="preserve">  The developmental parallel is equally precise. In human embryology, the blastopore—the first specialized opening that forms during gastrulation—becomes the anus. Humans are deuterostomes: the anus forms before the mouth. The anus is the most ancient differentiated opening in human anatomy, both phylogenetically and ontogenetically. Its dense innervation by the enteric nervous system—one of the oldest neural networks in vertebrate evolution, containing more neurons than the spinal cord—provides the erotic substrate that makes the behavior possible. The pleasure generated by anal stimulation is produced by neural hardware that evolved for digestive peristalsis, not for sexual function.</w:t>
      </w:r>
    </w:p>
    <w:p w14:paraId="6AD5B38C" w14:textId="77777777" w:rsidR="003E3468" w:rsidRPr="000E3718" w:rsidRDefault="000E3718" w:rsidP="000E3718">
      <w:pPr>
        <w:spacing w:line="276" w:lineRule="auto"/>
        <w:jc w:val="both"/>
      </w:pPr>
      <w:r>
        <w:t xml:space="preserve">  Freud’s psychosexual sequence—oral, anal, genital—recapitulates this evolutionary trajectory. The anal stage is the second erotogenic zone. Normal development extinguishes anal eroticism through the progressive maturation of the inhibitory system, which Freud described as the emergence of “disgust, shame, and morality” as repressive forces. Adult anal sexual behavior is regression to this pre-genital developmental stage, which is itself a developmental recapitulation of the pre-mammalian cloacal condition. Two levels of regression nested inside each other.</w:t>
      </w:r>
    </w:p>
    <w:p w14:paraId="2355FA92" w14:textId="77777777" w:rsidR="003E3468" w:rsidRDefault="000E3718" w:rsidP="000E3718">
      <w:pPr>
        <w:spacing w:after="200" w:line="276" w:lineRule="auto"/>
        <w:jc w:val="both"/>
      </w:pPr>
      <w:r>
        <w:t xml:space="preserve">  The microbial dimension is severe. The human colon contains approximately 10¹¹ bacterial cells per milliliter of content—the highest density microbial environment in the human body, exceeding oral and genital environments by several orders of magnitude. Anal intercourse creates a direct transfer pathway between this environment and the reproductive tract of the receiving partner, and subsequently—through oral-anal and oral-genital contact chains—to the oral cavity and gut of both partners. The fecal-oral route is the primary transmission pathway for the oldest parasitic organisms on earth: protozoa, helminths, and enteric bacteria that have exploited this pathway for billions of years. The behavior reactivates this ancient parasitic highway.</w:t>
      </w:r>
    </w:p>
    <w:p w14:paraId="347A7E7E" w14:textId="77777777" w:rsidR="000E3718" w:rsidRPr="000E3718" w:rsidRDefault="000E3718" w:rsidP="000E3718">
      <w:pPr>
        <w:pBdr>
          <w:bottom w:val="single" w:sz="4" w:space="1" w:color="auto"/>
        </w:pBdr>
        <w:spacing w:after="200" w:line="276" w:lineRule="auto"/>
        <w:jc w:val="both"/>
      </w:pPr>
    </w:p>
    <w:p w14:paraId="5A537E3D" w14:textId="77777777" w:rsidR="003E3468" w:rsidRPr="005307B5" w:rsidRDefault="00000000" w:rsidP="005307B5">
      <w:pPr>
        <w:spacing w:after="240" w:line="276" w:lineRule="auto"/>
        <w:rPr>
          <w:b/>
          <w:bCs/>
          <w:sz w:val="34"/>
          <w:szCs w:val="34"/>
        </w:rPr>
      </w:pPr>
      <w:r>
        <w:rPr>
          <w:b/>
          <w:bCs/>
          <w:sz w:val="34"/>
          <w:szCs w:val="34"/>
        </w:rPr>
        <w:lastRenderedPageBreak/>
        <w:t>III. The Primordial Loop</w:t>
      </w:r>
    </w:p>
    <w:p w14:paraId="501EDB87" w14:textId="77777777" w:rsidR="003E3468" w:rsidRPr="000E3718" w:rsidRDefault="00000000" w:rsidP="000E3718">
      <w:pPr>
        <w:spacing w:line="276" w:lineRule="auto"/>
        <w:jc w:val="both"/>
      </w:pPr>
      <w:r>
        <w:t>Each regression described above creates a microbial transfer pathway. Each transferred microbial ecology modifies the recipient’s neural operating state. The mechanistic chain is as follows.</w:t>
      </w:r>
    </w:p>
    <w:p w14:paraId="4AD89D10" w14:textId="77777777" w:rsidR="003E3468" w:rsidRPr="000E3718" w:rsidRDefault="000E3718" w:rsidP="000E3718">
      <w:pPr>
        <w:spacing w:line="276" w:lineRule="auto"/>
        <w:jc w:val="both"/>
      </w:pPr>
      <w:r>
        <w:t xml:space="preserve">  The human gut microbiome modulates at least three independent neural axes through compounds that cross the blood-brain barrier (Breit et al., 2018; Cryan &amp; Dinan, 2012). Tryptophan metabolites produced by gut bacteria modulate serotonergic tone, affecting excitatory drive and arousal. Yano et al. (2015) demonstrated that indigenous spore-forming bacteria from the mouse and human microbiota directly regulate host serotonin biosynthesis in colonic enterochromaffin cells, which supply serotonin to the mucosa, the bloodstream, and circulating platelets—establishing that gut bacteria do not merely influence serotonergic tone but control its production at the source. Short-chain fatty acids drive brain-derived neurotrophic factor expression, affecting synaptic plasticity and structural organization. Gamma-aminobutyric acid produced by enteric bacteria (Barrett et al., 2012; </w:t>
      </w:r>
      <w:proofErr w:type="spellStart"/>
      <w:r>
        <w:t>Strandwitz</w:t>
      </w:r>
      <w:proofErr w:type="spellEnd"/>
      <w:r>
        <w:t xml:space="preserve"> et al., 2019) modulates inhibitory tone directly—the very system responsible for extinguishing the infantile erotogenic zones whose reactivation constitutes perversion. Bravo et al. (2011) provided the critical experimental confirmation: chronic ingestion of Lactobacillus </w:t>
      </w:r>
      <w:proofErr w:type="spellStart"/>
      <w:r>
        <w:t>rhamnosus</w:t>
      </w:r>
      <w:proofErr w:type="spellEnd"/>
      <w:r>
        <w:t xml:space="preserve"> in mice produced region-dependent alterations in GABA receptor expression in the prefrontal cortex, amygdala, and hippocampus, and reduced anxiety- and depression-related behavior. When the </w:t>
      </w:r>
      <w:proofErr w:type="spellStart"/>
      <w:r>
        <w:t>vagus</w:t>
      </w:r>
      <w:proofErr w:type="spellEnd"/>
      <w:r>
        <w:t xml:space="preserve"> nerve was severed, every neurochemical and behavioral effect disappeared—identifying the </w:t>
      </w:r>
      <w:proofErr w:type="spellStart"/>
      <w:r>
        <w:t>vagus</w:t>
      </w:r>
      <w:proofErr w:type="spellEnd"/>
      <w:r>
        <w:t xml:space="preserve"> as the constitutive communication pathway between gut bacteria and brain, and demonstrating that the chain from bacterial ingestion to altered GABA receptor expression to changed behavior operates through a single, identifiable neural pathway.</w:t>
      </w:r>
    </w:p>
    <w:p w14:paraId="730E528A" w14:textId="77777777" w:rsidR="003E3468" w:rsidRPr="000E3718" w:rsidRDefault="000E3718" w:rsidP="000E3718">
      <w:pPr>
        <w:spacing w:line="276" w:lineRule="auto"/>
        <w:jc w:val="both"/>
      </w:pPr>
      <w:r>
        <w:t xml:space="preserve">  </w:t>
      </w:r>
      <w:proofErr w:type="spellStart"/>
      <w:r>
        <w:t>Braniste</w:t>
      </w:r>
      <w:proofErr w:type="spellEnd"/>
      <w:r>
        <w:t xml:space="preserve"> et al. (2014) demonstrated that gut microbiota maintain blood-brain barrier integrity in mice. Germ-free mice exhibit increased BBB permeability. The microbiome does not merely produce neuroactive compounds—it controls the gate through which all compounds access the brain.</w:t>
      </w:r>
    </w:p>
    <w:p w14:paraId="3F4A5B6C" w14:textId="77777777" w:rsidR="003E3468" w:rsidRPr="000E3718" w:rsidRDefault="000E3718" w:rsidP="000E3718">
      <w:pPr>
        <w:spacing w:line="276" w:lineRule="auto"/>
        <w:jc w:val="both"/>
      </w:pPr>
      <w:r>
        <w:t xml:space="preserve">  The behavioral consequence of microbiome transfer has been demonstrated directly. Bercik et al. (2011) colonized germ-free mice of an exploratory strain (NIH Swiss) with intestinal microbiota from an anxious strain (BALB/c). The recipients became anxious. The reverse transfer produced the reverse effect: anxious-strain </w:t>
      </w:r>
      <w:r>
        <w:lastRenderedPageBreak/>
        <w:t>mice colonized with bold-strain microbiota became more exploratory. Brain-derived neurotrophic factor levels in the hippocampus shifted to match the donor strain’s profile. The behavioral phenotype transferred with the microbiome. De Palma et al. (2017) extended this to human-derived microbiota: fecal transplant from irritable bowel syndrome patients with comorbid anxiety into germ-free mice produced both gut dysfunction and anxiety-like behavior in the recipients. Mice receiving microbiota from IBS patients without anxiety did not develop anxiety. The behavioral outcome was donor-specific. These experiments demonstrate the core operation of the primordial loop under controlled conditions: transfer microbial ecology from one organism to another, and the recipient’s behavior changes to match the donor’s. The mechanism does not require sexual contact. It requires only that the ecology reach the gut. Sexual contact is one transfer pathway. The experiments confirm that the pathway works.</w:t>
      </w:r>
    </w:p>
    <w:p w14:paraId="07816F46" w14:textId="77777777" w:rsidR="003E3468" w:rsidRPr="000E3718" w:rsidRDefault="000E3718" w:rsidP="000E3718">
      <w:pPr>
        <w:spacing w:line="276" w:lineRule="auto"/>
        <w:jc w:val="both"/>
      </w:pPr>
      <w:r>
        <w:t xml:space="preserve">  The closed loop is now visible. Sexual behaviors involving oral and anal pathways transfer microbiome between partners. The transferred microbiome colonizes the recipient’s gut. The colonizing bacteria produce compounds that cross the blood-brain barrier. These compounds modulate the neural axes governing drive, structural learning, and inhibition. If the net effect of the transferred ecology is to increase drive, consolidate the behavioral pattern through structural learning, and decrease inhibitory tone, then the recipient’s neural state after the transfer favors repetition of the behavior. The behavior transfers more microbiome. The loop closes.</w:t>
      </w:r>
    </w:p>
    <w:p w14:paraId="0B967CB7" w14:textId="77777777" w:rsidR="000E3718" w:rsidRDefault="000E3718" w:rsidP="000E3718">
      <w:pPr>
        <w:spacing w:line="276" w:lineRule="auto"/>
        <w:jc w:val="both"/>
      </w:pPr>
      <w:r>
        <w:t xml:space="preserve">  This is not metaphorical addiction. It is mechanical addiction operating at the microbial-neural interface. The consumed biological material modifies the consumer’s brain to consume more. The bacterial ecology that most effectively promotes its own transfer—by amplifying reward, consolidating habit, and suppressing inhibition—propagates most successfully through the host population.</w:t>
      </w:r>
    </w:p>
    <w:p w14:paraId="4A5B6C7D" w14:textId="77777777" w:rsidR="000E3718" w:rsidRDefault="000E3718" w:rsidP="000E3718">
      <w:pPr>
        <w:spacing w:line="276" w:lineRule="auto"/>
        <w:jc w:val="both"/>
      </w:pPr>
      <w:r>
        <w:t xml:space="preserve">  The structural precedent is Toxoplasma gondii—and the precedent is more precise than has been previously noted. T. gondii is a protozoan parasite that reproduces sexually only in the feline gut. To complete its lifecycle, it must travel from its rodent intermediate host to a cat. Vyas et al. (2007) demonstrated that T. gondii does not merely reduce the rodent’s fear of cat odor. It converts innate aversion into active attraction—while leaving aversion to dog urine, a non-definitive-host predator, entirely intact. The manipulation is specific to the stimulus that facilitates the parasite’s transmission. House et al. (2011) identified the neural mechanism: in infected rats exposed to cat urine, the parasite activates the </w:t>
      </w:r>
      <w:proofErr w:type="spellStart"/>
      <w:r>
        <w:t>posterodorsal</w:t>
      </w:r>
      <w:proofErr w:type="spellEnd"/>
      <w:r>
        <w:t xml:space="preserve"> medial </w:t>
      </w:r>
      <w:r>
        <w:lastRenderedPageBreak/>
        <w:t>amygdala—a region that normally processes sexual approach behavior—to levels equivalent to those produced by exposure to estrous females. Toxoplasma does not suppress fear. It hijacks the sexual attraction circuitry and redirects it toward the predator whose consumption completes the parasite’s lifecycle. Whole-brain dopamine levels in infected mice rise by approximately 15 percent. Dopamine receptor antagonists block the attraction. Calvo-Urbano et al. (2025) provided direct causal evidence: engineered T. gondii strains with varying levels of parasite-encoded tyrosine hydroxylase produce dose-dependent behavioral changes—more parasite-produced dopamine, more time in cat-scented zones. The parasite manufactures its own dopamine to modify its host’s behavior in the direction of its own retransmission.</w:t>
      </w:r>
    </w:p>
    <w:p w14:paraId="5B6C7D8E" w14:textId="77777777" w:rsidR="000E3718" w:rsidRDefault="000E3718" w:rsidP="000E3718">
      <w:pPr>
        <w:spacing w:line="276" w:lineRule="auto"/>
        <w:jc w:val="both"/>
      </w:pPr>
      <w:r>
        <w:t xml:space="preserve">  The primordial loop proposes that commensal bacterial ecologies, transferred through sexual contact, operate through the same logic. The principle requires only that the transferred ecology modify host neural state in a direction that increases the probability of retransfer. The T. gondii literature demonstrates that this principle operates in nature through the exact neural axes—dopaminergic reward, </w:t>
      </w:r>
      <w:proofErr w:type="spellStart"/>
      <w:r>
        <w:t>amygdalar</w:t>
      </w:r>
      <w:proofErr w:type="spellEnd"/>
      <w:r>
        <w:t xml:space="preserve"> approach-avoidance, limbic arousal circuitry—that the present paper identifies as the substrates of loop closure. T. gondii is not an analogy. It is the experimentally validated template for the mechanism this paper describes.</w:t>
      </w:r>
    </w:p>
    <w:p w14:paraId="6C7D8E9F" w14:textId="77777777" w:rsidR="000E3718" w:rsidRDefault="000E3718" w:rsidP="000E3718">
      <w:pPr>
        <w:spacing w:line="276" w:lineRule="auto"/>
        <w:jc w:val="both"/>
      </w:pPr>
      <w:r>
        <w:t xml:space="preserve">  The directionality of the loop follows from Darwinian first principles. Among the microbial strains transferred through the pathways described in Part II, those that increase host reward-seeking and suppress host inhibition will be retransferred more frequently than strains that do not, because the hosts carrying them engage in the transfer behavior more often. This is standard selection pressure operating on the transferred ecology: strains that promote their own retransmission outcompete strains that do not. Over iterations, the transferred ecology becomes enriched for strains whose net effect on host neural state favors behavioral repetition. The loop does not close by accident. It closes because selection pressure on the transferred ecology favors closure. The directionality is not assumed. It is derived.</w:t>
      </w:r>
    </w:p>
    <w:p w14:paraId="1A2B3C4D" w14:textId="77777777" w:rsidR="000E3718" w:rsidRDefault="000E3718" w:rsidP="000E3718">
      <w:pPr>
        <w:spacing w:line="276" w:lineRule="auto"/>
        <w:jc w:val="both"/>
      </w:pPr>
      <w:r>
        <w:t xml:space="preserve">  The model generates a further testable prediction from the anatomy of the transfer pathways themselves. The human colon contains approximately 10¹¹ bacterial cells per milliliter—the highest density microbial environment in the body, exceeding vaginal and oral environments by several orders of magnitude. The regression hierarchy therefore predicts a ranking of loop intensity: anal intercourse should produce the strongest and fastest microbiome shifts in the recipient, oral-anal contact </w:t>
      </w:r>
      <w:r>
        <w:lastRenderedPageBreak/>
        <w:t>the next, oral-genital contact the least. Huang et al. (2024) confirmed exactly this ranking. Their machine learning analysis linked specific sexual activities to specific microbial community features, and the alterations were additive—combinations of practices produced cumulative shifts. The model did not merely describe which behaviors are regressive. It predicted which ones close the loop fastest, and the empirical ranking matches the prediction derived from bacterial density at each transfer site. This is discriminative power: the prediction follows from the structural anatomy of the pathways, not from post hoc fitting to observed data.</w:t>
      </w:r>
    </w:p>
    <w:p w14:paraId="273B395F" w14:textId="77777777" w:rsidR="005307B5" w:rsidRDefault="005307B5" w:rsidP="005307B5">
      <w:pPr>
        <w:pBdr>
          <w:bottom w:val="single" w:sz="4" w:space="1" w:color="auto"/>
        </w:pBdr>
        <w:spacing w:line="276" w:lineRule="auto"/>
        <w:jc w:val="both"/>
      </w:pPr>
    </w:p>
    <w:p w14:paraId="2614B087" w14:textId="77777777" w:rsidR="003E3468" w:rsidRPr="005307B5" w:rsidRDefault="00000000" w:rsidP="000E342A">
      <w:pPr>
        <w:spacing w:before="240" w:after="240" w:line="276" w:lineRule="auto"/>
        <w:rPr>
          <w:b/>
          <w:bCs/>
          <w:sz w:val="34"/>
          <w:szCs w:val="34"/>
        </w:rPr>
      </w:pPr>
      <w:r>
        <w:rPr>
          <w:b/>
          <w:bCs/>
          <w:sz w:val="34"/>
          <w:szCs w:val="34"/>
        </w:rPr>
        <w:t>IV. The Epigenetic Channel</w:t>
      </w:r>
    </w:p>
    <w:p w14:paraId="02C4FBAB" w14:textId="77777777" w:rsidR="003E3468" w:rsidRPr="000E3718" w:rsidRDefault="00000000" w:rsidP="000E3718">
      <w:pPr>
        <w:spacing w:line="276" w:lineRule="auto"/>
        <w:jc w:val="both"/>
      </w:pPr>
      <w:r>
        <w:t>Beyond microbial transfer, seminal fluid contains a complex cargo of epigenetic signaling molecules. MicroRNAs, exosomes, and extracellular vesicles present in seminal plasma have been documented to modify gene expression in recipient tissues (Robertson &amp; Sharkey, 2016). These molecules evolved to prepare the female reproductive tract for implantation—to modify uterine gene expression in anticipation of pregnancy.</w:t>
      </w:r>
    </w:p>
    <w:p w14:paraId="59F793AE" w14:textId="77777777" w:rsidR="003E3468" w:rsidRDefault="000E3718" w:rsidP="005307B5">
      <w:pPr>
        <w:spacing w:line="276" w:lineRule="auto"/>
        <w:jc w:val="both"/>
      </w:pPr>
      <w:r>
        <w:t xml:space="preserve">  When seminal fluid is delivered to the oral cavity rather than the reproductive tract, this epigenetic cargo is absorbed through the highly vascular sublingual and buccal mucosa and enters the systemic circulation. The signaling molecules designed to modify uterine tissue are instead distributed systemically. The downstream effects on gene expression, immune modulation, and neuroendocrine function in the context of oral rather than vaginal delivery remain unstudied, precisely because the question has not been framed in these terms. The present paper notes the pathway and its plausibility. The experimental work remains to be done.</w:t>
      </w:r>
    </w:p>
    <w:p w14:paraId="09E95BC6" w14:textId="77777777" w:rsidR="000E3718" w:rsidRPr="000E3718" w:rsidRDefault="000E3718" w:rsidP="000E3718">
      <w:pPr>
        <w:pBdr>
          <w:bottom w:val="single" w:sz="4" w:space="1" w:color="auto"/>
        </w:pBdr>
        <w:spacing w:after="200" w:line="276" w:lineRule="auto"/>
        <w:jc w:val="both"/>
      </w:pPr>
    </w:p>
    <w:p w14:paraId="58727213" w14:textId="77777777" w:rsidR="003E3468" w:rsidRPr="005307B5" w:rsidRDefault="00000000" w:rsidP="005307B5">
      <w:pPr>
        <w:spacing w:after="240" w:line="276" w:lineRule="auto"/>
        <w:rPr>
          <w:b/>
          <w:bCs/>
          <w:sz w:val="34"/>
          <w:szCs w:val="34"/>
        </w:rPr>
      </w:pPr>
      <w:r>
        <w:rPr>
          <w:b/>
          <w:bCs/>
          <w:sz w:val="34"/>
          <w:szCs w:val="34"/>
        </w:rPr>
        <w:t>V. Erotogenic Extinction as Inhibitory Maturation</w:t>
      </w:r>
    </w:p>
    <w:p w14:paraId="398F371E" w14:textId="77777777" w:rsidR="003E3468" w:rsidRPr="000E3718" w:rsidRDefault="00000000" w:rsidP="000E3718">
      <w:pPr>
        <w:spacing w:line="276" w:lineRule="auto"/>
        <w:jc w:val="both"/>
      </w:pPr>
      <w:r>
        <w:t>Freud described the progressive extinction of infantile erotogenic zones—oral, anal, and whole-body erotic sensitivity—as a developmental achievement. The zones that produce erotic sensation in infancy cease to do so in maturity, replaced by genital primacy. Freud attributed this extinction to the emergence of “repressive forces”: disgust, shame, and morality (Standard Edition, Volume I, p. 269).</w:t>
      </w:r>
    </w:p>
    <w:p w14:paraId="4642492C" w14:textId="619F1671" w:rsidR="003E3468" w:rsidRPr="000E3718" w:rsidRDefault="000E3718" w:rsidP="000E3718">
      <w:pPr>
        <w:spacing w:after="200" w:line="276" w:lineRule="auto"/>
        <w:jc w:val="both"/>
      </w:pPr>
      <w:r>
        <w:lastRenderedPageBreak/>
        <w:t>Modern developmental neuroscience provides the mechanical substrate for Freud’s observation. The prefrontal cortex—the seat of inhibitory control—undergoes protracted myelination from childhood through the mid-twenties. The GABAergic inhibitory system matures progressively over this period. The extinction of infantile erotogenic zones is not an abstract psychological event. It is the physical consequence of inhibitory architecture gaining sufficient strength to suppress the pre-genital erotic circuits. The circuits are not destroyed. They are inhibited—held below activation threshold by the mature inhibitory system.</w:t>
      </w:r>
    </w:p>
    <w:p w14:paraId="77FDFD90" w14:textId="77777777" w:rsidR="005307B5" w:rsidRDefault="00000000" w:rsidP="005307B5">
      <w:pPr>
        <w:spacing w:line="276" w:lineRule="auto"/>
        <w:jc w:val="both"/>
      </w:pPr>
      <w:r>
        <w:t>Perversion, in this mechanical framework, is the reactivation of circuits that inhibitory maturation should have rendered dormant. The reactivation may occur through two pathways. First, the inhibitory system may never have fully matured—as when childhood sexual abuse during the developmental window disrupts normal GABAergic development, leaving the pre-genital circuits incompletely suppressed. Second, the inhibitory system may have matured normally but been subsequently degraded through chronic override, substance use, or microbiome-mediated substrate modification—lowering the inhibitory threshold until the dormant circuits reactivate.</w:t>
      </w:r>
    </w:p>
    <w:p w14:paraId="65F582AF" w14:textId="77777777" w:rsidR="003E3468" w:rsidRDefault="005307B5" w:rsidP="005307B5">
      <w:pPr>
        <w:spacing w:line="276" w:lineRule="auto"/>
        <w:jc w:val="both"/>
      </w:pPr>
      <w:r>
        <w:t xml:space="preserve">  Both pathways produce the same structural result: an adult operating through erotic circuits that belong to an earlier developmental stage. The behavior is a regression in the precise Freudian sense—a return to an earlier mode of libidinal organization. The regression recapitulates, at the individual developmental level, the evolutionary regressions described in Part II: the reactivation of oral feeding circuits, anal-cloacal circuits, and birth-canal circuits that evolutionary and developmental maturation progressively differentiated and suppressed.</w:t>
      </w:r>
    </w:p>
    <w:p w14:paraId="16A359B4" w14:textId="77777777" w:rsidR="005307B5" w:rsidRPr="000E3718" w:rsidRDefault="005307B5" w:rsidP="005307B5">
      <w:pPr>
        <w:pBdr>
          <w:bottom w:val="single" w:sz="4" w:space="1" w:color="auto"/>
        </w:pBdr>
        <w:spacing w:after="200" w:line="276" w:lineRule="auto"/>
        <w:jc w:val="both"/>
      </w:pPr>
    </w:p>
    <w:p w14:paraId="13B517F9" w14:textId="77777777" w:rsidR="003E3468" w:rsidRPr="005307B5" w:rsidRDefault="00000000" w:rsidP="005307B5">
      <w:pPr>
        <w:spacing w:after="240" w:line="276" w:lineRule="auto"/>
        <w:rPr>
          <w:b/>
          <w:bCs/>
          <w:sz w:val="34"/>
          <w:szCs w:val="34"/>
        </w:rPr>
      </w:pPr>
      <w:r>
        <w:rPr>
          <w:b/>
          <w:bCs/>
          <w:sz w:val="34"/>
          <w:szCs w:val="34"/>
        </w:rPr>
        <w:t>VI. Domain-General Degradation</w:t>
      </w:r>
    </w:p>
    <w:p w14:paraId="25656D2C" w14:textId="77777777" w:rsidR="003E3468" w:rsidRPr="000E3718" w:rsidRDefault="00000000" w:rsidP="005307B5">
      <w:pPr>
        <w:spacing w:line="276" w:lineRule="auto"/>
        <w:jc w:val="both"/>
      </w:pPr>
      <w:r>
        <w:t>The regressions described in the preceding sections do not degrade sexual function alone. They degrade the neural systems that serve every domain of cognitive and behavioral performance. This is not a moral claim. It is an anatomical fact: the systems these behaviors override are domain-general. Degrading them in the sexual domain degrades them everywhere.</w:t>
      </w:r>
    </w:p>
    <w:p w14:paraId="3F19EFED" w14:textId="77777777" w:rsidR="005307B5" w:rsidRDefault="005307B5" w:rsidP="005307B5">
      <w:pPr>
        <w:spacing w:line="276" w:lineRule="auto"/>
        <w:jc w:val="both"/>
      </w:pPr>
      <w:r>
        <w:t xml:space="preserve">  The prefrontal cortex is the critical substrate. The GABAergic inhibitory architecture that suppresses reactivated erotogenic circuits is the same architecture </w:t>
      </w:r>
      <w:r>
        <w:lastRenderedPageBreak/>
        <w:t>that governs planning, working memory, sustained attention, delayed gratification, emotional regulation, and abstract reasoning. Goldstein and Volkow (2011) demonstrated that chronic override of the prefrontal system produces measurable reductions in prefrontal grey matter volume and prefrontal metabolic activity. This degradation does not respect domain boundaries. The person who has degraded their prefrontal cortex through chronic sexual override has degraded their capacity for every function the prefrontal cortex serves. Executive function declines. Impulse control declines. Working memory capacity declines. The ability to sustain attention on complex intellectual work declines. Not because sex diminishes intelligence through a moral mechanism, but because the neural architecture degraded through chronic override was the same architecture required for everything else.</w:t>
      </w:r>
    </w:p>
    <w:p w14:paraId="611620C0" w14:textId="77777777" w:rsidR="003E3468" w:rsidRPr="000E3718" w:rsidRDefault="005307B5" w:rsidP="005307B5">
      <w:pPr>
        <w:spacing w:line="276" w:lineRule="auto"/>
        <w:jc w:val="both"/>
      </w:pPr>
      <w:r>
        <w:t xml:space="preserve">  The dopaminergic pathway compounds the effect. The mesolimbic dopamine system that mediates sexual reward is the same system that mediates reward for achievement, learning, creative accomplishment, and goal-directed effort. It is one system. Chronic supraphysiological activation—whether through drugs or through compulsive sexual stimulation—produces receptor downregulation across the entire system. The reward system recalibrates to the supraphysiological stimulus and finds normal stimuli insufficient. The person who has downregulated their dopamine receptors through chronic sexual stimulation finds less reward in reading, in solving problems, in creative work, in sustained effort toward long-term goals. The intellectual world becomes grey—not because the person lost intelligence, but because the reward system that should reinforce intellectual effort has been commandeered by a stimulus that fires at intensities intellectual work cannot match.</w:t>
      </w:r>
    </w:p>
    <w:p w14:paraId="28F354CC" w14:textId="77777777" w:rsidR="003E3468" w:rsidRPr="000E3718" w:rsidRDefault="005307B5" w:rsidP="005307B5">
      <w:pPr>
        <w:spacing w:line="276" w:lineRule="auto"/>
        <w:jc w:val="both"/>
      </w:pPr>
      <w:r>
        <w:t xml:space="preserve">  Kühn and Gallinat (2014) provided the empirical confirmation. Pornography consumption alone—without physical sexual contact, without microbial transfer, without any partner—is associated with reduced grey matter volume in the right caudate of the striatum and reduced functional connectivity between the striatum and the prefrontal cortex. Structural brain change from visual sexual stimulation in a dose-dependent relationship. The striatum governs motivation and reward processing. The prefrontal-striatal connectivity governs the ability to exert cognitive control over reward-seeking behavior. Both are degraded. If visual stimulation alone produces structural degradation, physical regressive sexual behavior—with its additional microbial transfer, epigenetic signaling, and vastly more intense reward activation—would be predicted to produce greater degradation.</w:t>
      </w:r>
    </w:p>
    <w:p w14:paraId="1A08D0EE" w14:textId="68CA9177" w:rsidR="003E3468" w:rsidRPr="000E3718" w:rsidRDefault="005307B5" w:rsidP="005307B5">
      <w:pPr>
        <w:spacing w:line="276" w:lineRule="auto"/>
        <w:jc w:val="both"/>
      </w:pPr>
      <w:r>
        <w:lastRenderedPageBreak/>
        <w:t>Freud’s concept of sublimation acquires mechanical precision in this context. The motivational drive system—dopaminergic, noradrenergic, testosterone-mediated—provides the raw energy for sustained cognitive effort. If that energy is discharged through sexual behavior, less remains available for cognitive work. This is not metaphor. It is metabolic reality. The brain’s energy budget is finite: 20% of total metabolic energy for 2% of body mass (Attwell and Laughlin, 2001). Motivational energy directed toward sexual discharge is motivational energy not directed toward intellectual effort. The sexually restrained individual—Freud’s observation about the prudishness of the most productive minds—has more drive available for sublimation because the drive was not discharged through its most primitive pathway.</w:t>
      </w:r>
    </w:p>
    <w:p w14:paraId="5F44047D" w14:textId="77777777" w:rsidR="003E3468" w:rsidRPr="000E3718" w:rsidRDefault="005307B5" w:rsidP="005307B5">
      <w:pPr>
        <w:spacing w:line="276" w:lineRule="auto"/>
        <w:jc w:val="both"/>
      </w:pPr>
      <w:r>
        <w:t xml:space="preserve">  The microbiome pathway described in Part III makes the regression cross-domain by biological necessity. GABA is the primary inhibitory neurotransmitter in the entire central nervous system. It is not sexually specific. Reduced GABA production—caused by microbial ecology shifts resulting from the behaviors described in Part II—affects seizure threshold, anxiety regulation, sleep architecture, attentional control, and cognitive flexibility. Every domain that depends on inhibitory tone is degraded when inhibitory tone is systemically reduced.</w:t>
      </w:r>
    </w:p>
    <w:p w14:paraId="003FA928" w14:textId="77777777" w:rsidR="000E342A" w:rsidRDefault="000E342A" w:rsidP="005307B5">
      <w:pPr>
        <w:spacing w:line="276" w:lineRule="auto"/>
        <w:jc w:val="both"/>
      </w:pPr>
    </w:p>
    <w:p w14:paraId="7D8E9FA0" w14:textId="737F9337" w:rsidR="003E3468" w:rsidRPr="000E3718" w:rsidRDefault="005307B5" w:rsidP="005307B5">
      <w:pPr>
        <w:spacing w:line="276" w:lineRule="auto"/>
        <w:jc w:val="both"/>
      </w:pPr>
      <w:r>
        <w:t>A third independent route to the same degradation operates through the immune system. Coleman et al. (2020) identified specific bacteria enriched in the practice-specific microbiome—</w:t>
      </w:r>
      <w:proofErr w:type="spellStart"/>
      <w:r>
        <w:t>Catenibacterium</w:t>
      </w:r>
      <w:proofErr w:type="spellEnd"/>
      <w:r>
        <w:t xml:space="preserve"> </w:t>
      </w:r>
      <w:proofErr w:type="spellStart"/>
      <w:r>
        <w:t>mitsuokai</w:t>
      </w:r>
      <w:proofErr w:type="spellEnd"/>
      <w:r>
        <w:t xml:space="preserve"> and </w:t>
      </w:r>
      <w:proofErr w:type="spellStart"/>
      <w:r>
        <w:t>Holdemanella</w:t>
      </w:r>
      <w:proofErr w:type="spellEnd"/>
      <w:r>
        <w:t xml:space="preserve"> </w:t>
      </w:r>
      <w:proofErr w:type="spellStart"/>
      <w:r>
        <w:t>biformis</w:t>
      </w:r>
      <w:proofErr w:type="spellEnd"/>
      <w:r>
        <w:t xml:space="preserve">—that correlated with immune cell activation and produced an elevated ratio of the proinflammatory cytokine TNF-α to the anti-inflammatory cytokine IL-10. The 2024 Communications Biology study documented elevated levels of the inflammatory biomarkers sCD14 and sCD163 and a significant decrease in short-chain fatty acid producing bacteria. These findings describe a chronic proinflammatory state induced by the transferred ecology. The neuroinflammatory literature establishes the downstream consequence: peripheral proinflammatory cytokines—TNF-α, IL-1β, IL-6—cross or disrupt the blood-brain barrier, activate microglia and astrocytes in the central nervous system, and produce measurable impairment of prefrontal cortical function, specifically executive function, working memory, and inhibitory control. The prefrontal cortex and amygdala are particularly vulnerable to neuroinflammatory damage. This provides a third mechanistically independent pathway through which the transferred microbial ecology degrades the </w:t>
      </w:r>
      <w:r>
        <w:lastRenderedPageBreak/>
        <w:t>same inhibitory architecture: not only through reduced GABA production, not only through dopaminergic reward-system hijacking, but through immune-mediated neuroinflammation attacking the prefrontal substrate directly. Three independent mechanisms converging on the same target—the prefrontal inhibitory system—from three different biological routes.</w:t>
      </w:r>
    </w:p>
    <w:p w14:paraId="4F6D1AEE" w14:textId="77777777" w:rsidR="003E3468" w:rsidRPr="000E3718" w:rsidRDefault="005307B5" w:rsidP="005307B5">
      <w:pPr>
        <w:spacing w:line="276" w:lineRule="auto"/>
        <w:jc w:val="both"/>
      </w:pPr>
      <w:r>
        <w:t xml:space="preserve">  Finally, the hormonal cascade. Post-orgasmic prolactin release produces the refractory period—reduced motivation, reduced cognitive sharpness, reduced drive. Chronic frequent sexual discharge maintains elevated baseline prolactin. Elevated prolactin suppresses testosterone. Reduced testosterone in males correlates with reduced spatial reasoning, reduced competitive drive, reduced motivation for achievement, and reduced physical energy. The chronically sexually hyperactive male is operating at hormonally reduced capacity for everything his civilization requires of him.</w:t>
      </w:r>
    </w:p>
    <w:p w14:paraId="27AF0F67" w14:textId="77777777" w:rsidR="003E3468" w:rsidRDefault="00000000" w:rsidP="007678CE">
      <w:pPr>
        <w:spacing w:before="240" w:line="276" w:lineRule="auto"/>
        <w:jc w:val="both"/>
      </w:pPr>
      <w:r>
        <w:t>Six converging mechanisms: prefrontal grey matter reduction, dopamine receptor downregulation, sublimation energy depletion, structural brain changes from stimulation alone, systemic GABA reduction through microbial transfer, and hormonal rebalancing toward reduced drive. Each is independently documented. Their convergence on a single class of behavior produces a prediction: chronic engagement in regressive sexual acts will correlate with measurable declines in executive function, working memory, sustained attention, creative output, and goal-directed achievement. The decline is not moral punishment. It is the biological consequence of depleting domain-general systems through their most primitive discharge pathway.</w:t>
      </w:r>
    </w:p>
    <w:p w14:paraId="01EEAE53" w14:textId="77777777" w:rsidR="005307B5" w:rsidRPr="000E3718" w:rsidRDefault="005307B5" w:rsidP="005307B5">
      <w:pPr>
        <w:pBdr>
          <w:bottom w:val="single" w:sz="4" w:space="1" w:color="auto"/>
        </w:pBdr>
        <w:spacing w:after="200" w:line="276" w:lineRule="auto"/>
        <w:jc w:val="both"/>
      </w:pPr>
    </w:p>
    <w:p w14:paraId="3CA259B4" w14:textId="77777777" w:rsidR="003E3468" w:rsidRPr="005307B5" w:rsidRDefault="00000000" w:rsidP="005307B5">
      <w:pPr>
        <w:spacing w:before="240" w:line="276" w:lineRule="auto"/>
        <w:rPr>
          <w:b/>
          <w:bCs/>
          <w:sz w:val="34"/>
          <w:szCs w:val="34"/>
        </w:rPr>
      </w:pPr>
      <w:r>
        <w:rPr>
          <w:b/>
          <w:bCs/>
          <w:sz w:val="34"/>
          <w:szCs w:val="34"/>
        </w:rPr>
        <w:t>VII. The Developmental Terminus</w:t>
      </w:r>
    </w:p>
    <w:p w14:paraId="3B582709" w14:textId="77777777" w:rsidR="003E3468" w:rsidRPr="000E3718" w:rsidRDefault="00000000" w:rsidP="005307B5">
      <w:pPr>
        <w:spacing w:before="240" w:after="200" w:line="276" w:lineRule="auto"/>
        <w:jc w:val="both"/>
      </w:pPr>
      <w:r>
        <w:t>A necessary clarification. The preceding analysis invites the objection that all sexual activity, including procreative intercourse between bonded partners, must be equally regressive. The objection fails on three mechanical grounds.</w:t>
      </w:r>
    </w:p>
    <w:p w14:paraId="3FDE4A2E" w14:textId="77777777" w:rsidR="003E3468" w:rsidRPr="000E3718" w:rsidRDefault="00000000" w:rsidP="005307B5">
      <w:pPr>
        <w:spacing w:line="276" w:lineRule="auto"/>
        <w:jc w:val="both"/>
      </w:pPr>
      <w:r>
        <w:t xml:space="preserve">First, vaginal intercourse is not a regression. It is the developmental terminus. Freud’s psychosexual sequence—oral, anal, genital—describes a progression toward genital primacy. The genital zone is not an infantile circuit that was extinguished and reactivated. It is the circuit that replaced the infantile circuits when </w:t>
      </w:r>
      <w:r>
        <w:lastRenderedPageBreak/>
        <w:t>inhibitory maturation extinguished them. The oral and anal acts described in Part II reactivate the circuits that genital primacy was designed to supersede. The distinction is developmental chronology: genital intercourse is where development was heading; oral and anal acts are where development came from.</w:t>
      </w:r>
    </w:p>
    <w:p w14:paraId="4DD08C3E" w14:textId="77777777" w:rsidR="003E3468" w:rsidRPr="000E3718" w:rsidRDefault="005307B5" w:rsidP="005307B5">
      <w:pPr>
        <w:spacing w:line="276" w:lineRule="auto"/>
        <w:jc w:val="both"/>
      </w:pPr>
      <w:r>
        <w:t xml:space="preserve">  Second, the biological pathway is adapted. Vaginal intercourse delivers seminal fluid to the reproductive tract—the anatomical destination it evolved for. The seminal microRNA, exosomes, and epigenetic cargo reach tissue specifically adapted to receive and process them. Robertson and Sharkey (2016) document that seminal fluid exposure through the vaginal route produces immunological tolerance mechanisms that support implantation and pregnancy. The system is matched. Oral and anal delivery routes send the same cargo to tissues that have no evolutionary adaptation to receive it. The oral mucosa absorbs epigenetic signals designed for uterine tissue. The rectal mucosa—one cell layer thick, far thinner than vaginal mucosa—absorbs material directly into the bloodstream without the immunological processing the vaginal route provides. The distinction is not cultural preference. It is whether the biological material arrives at tissue that evolved to receive it or at tissue that did not.</w:t>
      </w:r>
    </w:p>
    <w:p w14:paraId="54A115F1" w14:textId="77777777" w:rsidR="003E3468" w:rsidRPr="000E3718" w:rsidRDefault="005307B5" w:rsidP="005307B5">
      <w:pPr>
        <w:spacing w:after="200" w:line="276" w:lineRule="auto"/>
        <w:jc w:val="both"/>
      </w:pPr>
      <w:r>
        <w:t xml:space="preserve">  Third, the neurochemistry is categorically different. Periodic vaginal intercourse within a stable pair bond does not produce the chronic supraphysiological dopamine activation that drives receptor downregulation. It produces moderate dopamine release followed by oxytocin-mediated bonding consolidation. Oxytocin reinforces pair bonding, trust, and attachment. Compulsive and regressive sexual behavior, by contrast, drives dopamine through novelty, escalation, and the progressive recruitment of more primitive circuits. One is oxytocin-dominant. The other is dopamine-dominant. They produce opposite long-term neurological effects: pair-bonding consolidation versus reward-system hijacking.</w:t>
      </w:r>
    </w:p>
    <w:p w14:paraId="2B3C4D5E" w14:textId="77777777" w:rsidR="003E3468" w:rsidRPr="000E3718" w:rsidRDefault="005307B5" w:rsidP="005307B5">
      <w:pPr>
        <w:spacing w:after="200" w:line="276" w:lineRule="auto"/>
        <w:jc w:val="both"/>
      </w:pPr>
      <w:r>
        <w:t xml:space="preserve">  Fourth, the immune response is directionally opposite. Robertson and Sharkey (2016), already cited, documented that seminal fluid exposure through the vaginal route produces immunological tolerance—mechanisms that suppress inflammatory response and support implantation. The adapted pathway receives the biological material and modulates the immune system toward acceptance. Coleman et al. (2020) and the 2024 Communications Biology study documented what happens through the non-vaginal routes: immune activation, not tolerance. Elevated TNF-α to IL-10 ratios. Increased sCD14 and sCD163 inflammatory biomarkers. Decreased </w:t>
      </w:r>
      <w:r>
        <w:lastRenderedPageBreak/>
        <w:t>short-chain fatty acid producing bacteria. The same biological material, arriving through different anatomical pathways, produces opposite immune outcomes—tolerance through the adapted route, chronic inflammation through the regressive routes. This is not a cultural distinction. It is the immune system distinguishing between material arriving at tissue that evolved to receive it and material arriving at tissue that did not. The inflammation produced by the regressive routes feeds directly into the neuroinflammatory degradation pathway described in Part VI: peripheral inflammation crossing the blood-brain barrier and degrading prefrontal function. The adapted route does not produce this cascade. The regressive routes do.</w:t>
      </w:r>
    </w:p>
    <w:p w14:paraId="42D39C36" w14:textId="77777777" w:rsidR="003E3468" w:rsidRDefault="00000000" w:rsidP="005307B5">
      <w:pPr>
        <w:spacing w:line="276" w:lineRule="auto"/>
        <w:jc w:val="both"/>
      </w:pPr>
      <w:r>
        <w:t xml:space="preserve">Genital intercourse is the only sexual configuration in which the biological material, the anatomical pathway, the neural circuitry, and the hormonal cascade are all operating in the mode that evolutionary development produced them for. Every departure from this configuration recruits older circuits, delivers material to </w:t>
      </w:r>
      <w:proofErr w:type="spellStart"/>
      <w:r>
        <w:t>unadapted</w:t>
      </w:r>
      <w:proofErr w:type="spellEnd"/>
      <w:r>
        <w:t xml:space="preserve"> tissue, and shifts the neurochemical balance from bonding toward compulsion. The paper does not moralize this distinction. The biology makes it.</w:t>
      </w:r>
    </w:p>
    <w:p w14:paraId="4B1C9F67" w14:textId="77777777" w:rsidR="005307B5" w:rsidRPr="000E3718" w:rsidRDefault="005307B5" w:rsidP="005307B5">
      <w:pPr>
        <w:pBdr>
          <w:bottom w:val="single" w:sz="4" w:space="1" w:color="auto"/>
        </w:pBdr>
        <w:spacing w:after="200" w:line="276" w:lineRule="auto"/>
        <w:jc w:val="both"/>
      </w:pPr>
    </w:p>
    <w:p w14:paraId="241C1FD1" w14:textId="77777777" w:rsidR="003E3468" w:rsidRPr="005307B5" w:rsidRDefault="00000000" w:rsidP="000E3718">
      <w:pPr>
        <w:spacing w:line="276" w:lineRule="auto"/>
        <w:rPr>
          <w:b/>
          <w:bCs/>
          <w:sz w:val="34"/>
          <w:szCs w:val="34"/>
        </w:rPr>
      </w:pPr>
      <w:r>
        <w:rPr>
          <w:b/>
          <w:bCs/>
          <w:sz w:val="34"/>
          <w:szCs w:val="34"/>
        </w:rPr>
        <w:t>VIII. The Civilizational Substrate</w:t>
      </w:r>
    </w:p>
    <w:p w14:paraId="65FD4FE4" w14:textId="77777777" w:rsidR="003E3468" w:rsidRPr="000E3718" w:rsidRDefault="00000000" w:rsidP="005307B5">
      <w:pPr>
        <w:spacing w:before="240" w:line="276" w:lineRule="auto"/>
        <w:jc w:val="both"/>
      </w:pPr>
      <w:r>
        <w:t>The preceding analysis has been conducted without moral vocabulary. No behavior has been designated good or evil, natural or unnatural, acceptable or unacceptable. The analysis has identified structural operations, traced their evolutionary antecedents, documented their microbial consequences, and described the closed-loop feedback dynamics they generate. The reader may draw moral conclusions or decline to do so. The biology does not require moral interpretation to function.</w:t>
      </w:r>
    </w:p>
    <w:p w14:paraId="41EEDC28" w14:textId="77777777" w:rsidR="003E3468" w:rsidRPr="000E3718" w:rsidRDefault="005307B5" w:rsidP="005307B5">
      <w:pPr>
        <w:spacing w:line="276" w:lineRule="auto"/>
        <w:jc w:val="both"/>
      </w:pPr>
      <w:r>
        <w:t xml:space="preserve">  One observation, however, follows from the mechanism without requiring moral premises. When the closed-loop behaviors described above are practiced at population scale, the microbial transfer network operates as a population-level feedback system. Bacterial ecologies that amplify the drive toward their own transfer propagate through the host population. The aggregate inhibitory capacity of the population—the collective strength of the prefrontal systems responsible for erotogenic zone extinction—is modulated downward by the transferred microbial ecology. The population’s developmental achievement—the inhibitory maturation that distinguishes human psychosexual development from the undifferentiated erotic </w:t>
      </w:r>
      <w:r>
        <w:lastRenderedPageBreak/>
        <w:t>landscape of infancy—is systematically eroded by the biological consequences of the behaviors themselves.</w:t>
      </w:r>
    </w:p>
    <w:p w14:paraId="0380CDD1" w14:textId="77777777" w:rsidR="003E3468" w:rsidRPr="000E3718" w:rsidRDefault="005307B5" w:rsidP="005307B5">
      <w:pPr>
        <w:spacing w:after="200" w:line="276" w:lineRule="auto"/>
        <w:jc w:val="both"/>
      </w:pPr>
      <w:r>
        <w:t xml:space="preserve">  A civilization that normalizes these behaviors at scale is a civilization in which the microbial feedback loop operates without cultural resistance. The inhibitory systems that Freud identified as the foundations of civilization—disgust, shame, and morality—are precisely the systems that the transferred microbial ecology degrades. The civilization does not decline because of divine punishment. It declines because the aggregate inhibitory capacity of its population is reduced through a mechanical process operating at the microbial-neural interface. The mechanism is blind, purposeless, and indifferent to human intentions. It operates because the biology operates.</w:t>
      </w:r>
    </w:p>
    <w:p w14:paraId="0A1B2C3D" w14:textId="77777777" w:rsidR="003E3468" w:rsidRPr="000E3718" w:rsidRDefault="000E3718" w:rsidP="000E3718">
      <w:pPr>
        <w:spacing w:line="276" w:lineRule="auto"/>
        <w:jc w:val="both"/>
      </w:pPr>
      <w:r>
        <w:t xml:space="preserve">  The population-level mechanism has a generational dimension. Ferretti et al. (2018) demonstrated through strain-level metagenomic profiling that maternal gut strains are the most persistent colonizers of the infant gut—more persistent than vaginal or skin strains transmitted during birth. The mother’s gut ecology seeds the infant’s founding microbiome. Dominguez-Bello et al. (2010), already cited in Part II, documented the birth canal as the primary microbial seeding event. The implication for the present argument is direct: if the mother’s gut ecology has been shifted by the practices documented in Huang et al. (2024)—shifted toward the non-Westernized, </w:t>
      </w:r>
      <w:proofErr w:type="spellStart"/>
      <w:r>
        <w:t>Prevotella</w:t>
      </w:r>
      <w:proofErr w:type="spellEnd"/>
      <w:r>
        <w:t>-dominant composition associated with specific sexual behaviors—then that shifted ecology seeds the next generation during birth. The loop does not require the infant to engage in the described behaviors. It requires only that the mother’s altered ecology transmit vertically. The population-level prediction therefore extends beyond the practicing individuals: the microbial consequences propagate to offspring through the same birth canal pathway the paper describes in Section II.1 as the founding sensory and microbial experience of human life.</w:t>
      </w:r>
    </w:p>
    <w:p w14:paraId="7F6471E3" w14:textId="254926E5" w:rsidR="003E3468" w:rsidRPr="000E3718" w:rsidRDefault="00000000" w:rsidP="000E342A">
      <w:pPr>
        <w:spacing w:before="240" w:after="200" w:line="276" w:lineRule="auto"/>
        <w:ind w:firstLine="720"/>
        <w:jc w:val="both"/>
      </w:pPr>
      <w:r>
        <w:t>Freud understood this, in his own terminology, over a century ago:</w:t>
      </w:r>
    </w:p>
    <w:p w14:paraId="4B71FCB0" w14:textId="77777777" w:rsidR="003E3468" w:rsidRPr="000E3718" w:rsidRDefault="00000000" w:rsidP="000E3718">
      <w:pPr>
        <w:spacing w:after="160" w:line="276" w:lineRule="auto"/>
        <w:ind w:left="720" w:right="720"/>
      </w:pPr>
      <w:r>
        <w:rPr>
          <w:i/>
          <w:iCs/>
        </w:rPr>
        <w:t xml:space="preserve">"Furthermore, behind this lies the idea of abandoned erotogenic zones. That is to say, during childhood sexual release would seem to be obtainable from very many parts of the body, which at a later time are only able to release the anxiety substance and not the others. In this differentiation and limitation would thus lie progress in culture, </w:t>
      </w:r>
      <w:r>
        <w:rPr>
          <w:i/>
          <w:iCs/>
        </w:rPr>
        <w:lastRenderedPageBreak/>
        <w:t>moral as well as individual development." — Standard Edition, Volume I, p. 239</w:t>
      </w:r>
    </w:p>
    <w:p w14:paraId="6EF7C314" w14:textId="77777777" w:rsidR="003E3468" w:rsidRPr="000E3718" w:rsidRDefault="00000000" w:rsidP="005307B5">
      <w:pPr>
        <w:spacing w:line="276" w:lineRule="auto"/>
        <w:jc w:val="both"/>
      </w:pPr>
      <w:r>
        <w:t>Progress in culture lies in the differentiation and limitation of erotogenic zones. The reversal of that differentiation is the reversal of that progress. The biology states what morality has always intuited: regression is not liberation. It is the dissolution of the developmental achievement that made civilization possible.</w:t>
      </w:r>
    </w:p>
    <w:p w14:paraId="3203B99F" w14:textId="77777777" w:rsidR="003E3468" w:rsidRPr="000E3718" w:rsidRDefault="003E3468" w:rsidP="005307B5">
      <w:pPr>
        <w:pBdr>
          <w:bottom w:val="single" w:sz="4" w:space="1" w:color="auto"/>
        </w:pBdr>
        <w:spacing w:after="200" w:line="276" w:lineRule="auto"/>
      </w:pPr>
    </w:p>
    <w:p w14:paraId="53F4DD34" w14:textId="77777777" w:rsidR="003E3468" w:rsidRPr="005307B5" w:rsidRDefault="00000000" w:rsidP="005307B5">
      <w:pPr>
        <w:spacing w:after="240" w:line="276" w:lineRule="auto"/>
        <w:rPr>
          <w:b/>
          <w:bCs/>
          <w:sz w:val="34"/>
          <w:szCs w:val="34"/>
        </w:rPr>
      </w:pPr>
      <w:r>
        <w:rPr>
          <w:b/>
          <w:bCs/>
          <w:sz w:val="34"/>
          <w:szCs w:val="34"/>
        </w:rPr>
        <w:t>IX. The Structural Definition of Cannibalism</w:t>
      </w:r>
    </w:p>
    <w:p w14:paraId="73D708ED" w14:textId="77777777" w:rsidR="003E3468" w:rsidRPr="000E3718" w:rsidRDefault="00000000" w:rsidP="005307B5">
      <w:pPr>
        <w:spacing w:line="276" w:lineRule="auto"/>
        <w:jc w:val="both"/>
      </w:pPr>
      <w:r>
        <w:t>The paper has deferred its most precise designation until its mechanical foundations were established. The term may now be stated without risk of misinterpretation as rhetorical provocation.</w:t>
      </w:r>
    </w:p>
    <w:p w14:paraId="1B7E61AA" w14:textId="77777777" w:rsidR="003E3468" w:rsidRPr="000E3718" w:rsidRDefault="005307B5" w:rsidP="005307B5">
      <w:pPr>
        <w:spacing w:line="276" w:lineRule="auto"/>
        <w:jc w:val="both"/>
      </w:pPr>
      <w:r>
        <w:t xml:space="preserve">  Define cannibalism structurally: the incorporation of conspecific biological material through the feeding apparatus. The definition requires three elements—(1) same species, (2) biological material originating from within the body of the other organism, (3) incorporation through the mouth.</w:t>
      </w:r>
    </w:p>
    <w:p w14:paraId="5A756A15" w14:textId="77777777" w:rsidR="003E3468" w:rsidRPr="000E3718" w:rsidRDefault="005307B5" w:rsidP="005307B5">
      <w:pPr>
        <w:spacing w:line="276" w:lineRule="auto"/>
        <w:jc w:val="both"/>
      </w:pPr>
      <w:r>
        <w:t xml:space="preserve">  Oral-penile contact resulting in ejaculation satisfies all three elements. The material is reproductive fluid containing living spermatozoa, proteins, enzymes, microRNA, exosomes, and microbial ecology. The source is a member of the same species. The pathway is the mouth. The designation is not imported from moral theology. It follows from the structural definition.</w:t>
      </w:r>
    </w:p>
    <w:p w14:paraId="657391BA" w14:textId="77777777" w:rsidR="003E3468" w:rsidRPr="000E3718" w:rsidRDefault="005307B5" w:rsidP="005307B5">
      <w:pPr>
        <w:spacing w:line="276" w:lineRule="auto"/>
        <w:jc w:val="both"/>
      </w:pPr>
      <w:r>
        <w:t xml:space="preserve">  Oral-vaginal contact satisfies the same definition. Vaginal secretions, cervical mucus, and the complex microbial ecology of the vaginal tract constitute biological material originating from within the body of a conspecific. The pathway is the mouth.</w:t>
      </w:r>
    </w:p>
    <w:p w14:paraId="1DAA6E34" w14:textId="77777777" w:rsidR="003E3468" w:rsidRDefault="005307B5" w:rsidP="005307B5">
      <w:pPr>
        <w:spacing w:line="276" w:lineRule="auto"/>
        <w:jc w:val="both"/>
      </w:pPr>
      <w:r>
        <w:t xml:space="preserve">  The structural identity with phagocytosis is exact. In phagocytosis, a single-celled organism incorporates biological material from another organism through an opening, and the incorporated material modifies the consumer’s biochemical state. In human oral-genital contact, a multicellular organism incorporates biological material from a conspecific through the mouth, and the incorporated material modifies the consumer’s neural and microbial state. The operation is conserved across 2.5 billion years of evolutionary history. The apparatus is homologous. The structural operation is identical. Only the scale has changed.</w:t>
      </w:r>
    </w:p>
    <w:p w14:paraId="2E528E5E" w14:textId="77777777" w:rsidR="000F0C52" w:rsidRDefault="000F0C52" w:rsidP="005307B5">
      <w:pPr>
        <w:spacing w:line="276" w:lineRule="auto"/>
        <w:jc w:val="both"/>
      </w:pPr>
    </w:p>
    <w:p w14:paraId="302C7EF2" w14:textId="77777777" w:rsidR="000F0C52" w:rsidRPr="000F0C52" w:rsidRDefault="000F0C52" w:rsidP="000F0C52">
      <w:pPr>
        <w:spacing w:line="276" w:lineRule="auto"/>
        <w:jc w:val="both"/>
      </w:pPr>
      <w:r>
        <w:lastRenderedPageBreak/>
        <w:t>A necessary refinement. The three-element definition as stated invites two counterarguments that, while initially plausible, fail on examination. Both sharpen the definition rather than weakening it.</w:t>
      </w:r>
    </w:p>
    <w:p w14:paraId="360ED8BD" w14:textId="77777777" w:rsidR="000F0C52" w:rsidRPr="000F0C52" w:rsidRDefault="000F0C52" w:rsidP="000F0C52">
      <w:pPr>
        <w:spacing w:line="276" w:lineRule="auto"/>
        <w:jc w:val="both"/>
      </w:pPr>
      <w:r>
        <w:t>The first counterargument: kissing involves the exchange of conspecific biological material (saliva) through the mouth, and therefore satisfies the definition. It does not. Kissing is an assessment operation, not an incorporation operation. The biological function is mate evaluation — immune compatibility detection through major histocompatibility complex sampling, pheromone assessment, microbiome compatibility testing. Saliva is contacted incidentally, not consumed purposefully. The structural operation is sampling. Phagocytosis consumes. Kissing tastes. The definition requires incorporation — biological material taken into the body as the purpose of the act. Incidental contact during assessment does not satisfy this criterion.</w:t>
      </w:r>
    </w:p>
    <w:p w14:paraId="729DA7CB" w14:textId="77777777" w:rsidR="000F0C52" w:rsidRPr="000E3718" w:rsidRDefault="000F0C52" w:rsidP="005307B5">
      <w:pPr>
        <w:spacing w:line="276" w:lineRule="auto"/>
        <w:jc w:val="both"/>
      </w:pPr>
      <w:r>
        <w:t xml:space="preserve">  The second counterargument: breastfeeding involves an infant consuming conspecific biological material through the mouth, and therefore satisfies the definition. It does not. Breast milk is the single biological fluid in the human body that evolved specifically to be consumed orally by a conspecific. The mammary gland exists for this purpose. The milk's nutritional composition, immunological cargo, and microbiome content are designed for oral delivery to an infant. The material, the pathway, and the recipient are matched by evolutionary design. A fourth criterion therefore completes the definition: the biological material was not produced for oral consumption. Breast milk satisfies criteria one through three but fails criterion four — it was produced for oral consumption. Seminal fluid satisfies all four — it was produced for vaginal delivery. Vaginal secretions satisfy all four — they were produced for reproductive tract function. Neither was designed for the mouth. The mouth receives them anyway. The structural designation follows.</w:t>
      </w:r>
    </w:p>
    <w:p w14:paraId="253B0E7C" w14:textId="77777777" w:rsidR="005307B5" w:rsidRDefault="005307B5" w:rsidP="005307B5">
      <w:pPr>
        <w:pBdr>
          <w:bottom w:val="single" w:sz="4" w:space="1" w:color="auto"/>
        </w:pBdr>
        <w:spacing w:line="276" w:lineRule="auto"/>
      </w:pPr>
    </w:p>
    <w:p w14:paraId="65A768B6" w14:textId="77777777" w:rsidR="000F0C52" w:rsidRPr="000F0C52" w:rsidRDefault="000F0C52" w:rsidP="000F0C52">
      <w:pPr>
        <w:spacing w:before="240" w:after="240" w:line="276" w:lineRule="auto"/>
        <w:rPr>
          <w:sz w:val="34"/>
          <w:szCs w:val="34"/>
        </w:rPr>
      </w:pPr>
      <w:r>
        <w:rPr>
          <w:b/>
          <w:bCs/>
          <w:sz w:val="34"/>
          <w:szCs w:val="34"/>
        </w:rPr>
        <w:t>X. Anticipated Objections</w:t>
      </w:r>
    </w:p>
    <w:p w14:paraId="6268FAC3" w14:textId="77777777" w:rsidR="000F0C52" w:rsidRPr="000F0C52" w:rsidRDefault="000F0C52" w:rsidP="000F0C52">
      <w:pPr>
        <w:spacing w:before="240" w:after="240" w:line="276" w:lineRule="auto"/>
      </w:pPr>
      <w:r>
        <w:rPr>
          <w:b/>
          <w:bCs/>
        </w:rPr>
        <w:t>Objection 1: "These behaviors are natural and therefore non-pathological."</w:t>
      </w:r>
    </w:p>
    <w:p w14:paraId="7068F336" w14:textId="77777777" w:rsidR="000F0C52" w:rsidRPr="000F0C52" w:rsidRDefault="000F0C52" w:rsidP="000F0C52">
      <w:pPr>
        <w:spacing w:before="240" w:after="240" w:line="276" w:lineRule="auto"/>
      </w:pPr>
      <w:r>
        <w:t xml:space="preserve">The objection confuses occurrence with optimization. Cancer is natural. Parasitic infection is natural. Autoimmune destruction is natural. The question this paper addresses is not whether a behavior occurs in nature — it does — but whether it </w:t>
      </w:r>
      <w:r>
        <w:lastRenderedPageBreak/>
        <w:t>reverses differentiation that developmental and evolutionary maturation achieved. A behavior can be naturally occurring, pleasurable, and structurally regressive simultaneously. The pleasure is the mechanism of the regression, not evidence against it. The circuits being reactivated evolved to produce pleasure at the developmental stage for which they were designed. Reactivating them in adulthood produces the same pleasure through the same hardware. The pleasure is real. The developmental context is wrong. This is the documented phenomenon of supernormal stimulus: a signal that activates a circuit more intensely than the stimulus the circuit evolved for, precisely because the circuit cannot distinguish between the original context and the regressive reactivation. Junk food activates caloric reward circuits evolved for scarcity. Regressive sexual behavior activates erotic circuits evolved for infancy. The reward is genuine. The fitness signal is false.</w:t>
      </w:r>
    </w:p>
    <w:p w14:paraId="05475FCC" w14:textId="77777777" w:rsidR="000F0C52" w:rsidRPr="000F0C52" w:rsidRDefault="000F0C52" w:rsidP="000F0C52">
      <w:pPr>
        <w:spacing w:before="240" w:after="240" w:line="276" w:lineRule="auto"/>
      </w:pPr>
      <w:r>
        <w:rPr>
          <w:b/>
          <w:bCs/>
        </w:rPr>
        <w:t>Objection 2: "Consenting adults may do as they choose. Consent renders the biological consequences irrelevant."</w:t>
      </w:r>
    </w:p>
    <w:p w14:paraId="1E32CE48" w14:textId="77777777" w:rsidR="000F0C52" w:rsidRPr="000F0C52" w:rsidRDefault="000F0C52" w:rsidP="000F0C52">
      <w:pPr>
        <w:spacing w:before="240" w:after="240" w:line="276" w:lineRule="auto"/>
      </w:pPr>
      <w:r>
        <w:t>The objection confuses the moral axis with the biological axis. Consent determines the interpersonal ethics of an act. It does not determine the neurological, microbial, or epigenetic consequences. Two consenting adults who chronically consume alcohol together are still subject to hepatotoxicity. Consent does not modify the ethanol molecule. Two consenting adults who engage in chronic regressive sexual behavior are still subject to the microbial transfer, dopamine downregulation, prefrontal degradation, and GABA reduction documented in Parts III and VI. Consent does not modify the microbiome. This paper does not argue that these behaviors should be prohibited. It argues that they produce specific, measurable, domain-general biological consequences that operate independently of the participants' attitudes toward them. The biology does not require permission. It operates.</w:t>
      </w:r>
    </w:p>
    <w:p w14:paraId="1E206A56" w14:textId="77777777" w:rsidR="000F0C52" w:rsidRPr="000F0C52" w:rsidRDefault="000F0C52" w:rsidP="000F0C52">
      <w:pPr>
        <w:spacing w:before="240" w:after="240" w:line="276" w:lineRule="auto"/>
      </w:pPr>
      <w:r>
        <w:rPr>
          <w:b/>
          <w:bCs/>
        </w:rPr>
        <w:t>Objection 3: "This framework pathologizes normal human sexual variation."</w:t>
      </w:r>
    </w:p>
    <w:p w14:paraId="5C9C3856" w14:textId="77777777" w:rsidR="000F0C52" w:rsidRPr="000F0C52" w:rsidRDefault="000F0C52" w:rsidP="000F0C52">
      <w:pPr>
        <w:spacing w:before="240" w:after="240" w:line="276" w:lineRule="auto"/>
      </w:pPr>
      <w:r>
        <w:t xml:space="preserve">The objection misidentifies what the paper describes. Variation is the existence of different mature configurations — different individuals expressing sexuality through different preferences within the genital-primary developmental terminus. Regression is the reactivation of circuits that developmental maturation </w:t>
      </w:r>
      <w:r>
        <w:lastRenderedPageBreak/>
        <w:t>extinguished. These are categorically different phenomena. Calling regression "variation" is equivalent to calling type 2 diabetes "metabolic variation" — the description is technically applicable and fundamentally misleading. The diabetic pancreas is not expressing a different metabolic strategy. It is failing to perform the function it matured to perform. The adult operating through pre-genital erotic circuits is not expressing a different sexual strategy. The circuits that developmental maturation extinguished have been reactivated. The paper does not pathologize variation. It identifies regression. The distinction is testable: variation produces stable, non-escalating patterns within the mature circuitry. Regression produces escalating novelty-seeking as each reactivated circuit habituates and deeper circuits must be recruited to maintain the same reward intensity. The escalation pattern is the signature of regression, not of variation.</w:t>
      </w:r>
    </w:p>
    <w:p w14:paraId="702A25F0" w14:textId="77777777" w:rsidR="000F0C52" w:rsidRPr="000F0C52" w:rsidRDefault="000F0C52" w:rsidP="000F0C52">
      <w:pPr>
        <w:spacing w:before="240" w:after="240" w:line="276" w:lineRule="auto"/>
      </w:pPr>
      <w:r>
        <w:rPr>
          <w:b/>
          <w:bCs/>
        </w:rPr>
        <w:t>Objection 4: "Freudian developmental psychology is discredited. The oral-anal-genital sequence is unvalidated."</w:t>
      </w:r>
    </w:p>
    <w:p w14:paraId="1BFE5B34" w14:textId="77777777" w:rsidR="000F0C52" w:rsidRPr="000F0C52" w:rsidRDefault="000F0C52" w:rsidP="000F0C52">
      <w:pPr>
        <w:spacing w:before="240" w:after="240" w:line="276" w:lineRule="auto"/>
      </w:pPr>
      <w:r>
        <w:t>The reflexive dismissal of Freudian developmental psychology does not address the mechanical argument this paper makes. The paper does not require the reader to accept Freudian theory as a complete psychological framework. It requires the reader to accept three empirically documented facts: first, that infants exhibit erotic sensitivity across multiple body zones, documented in developmental psychology regardless of theoretical orientation; second, that this sensitivity diminishes during maturation as prefrontal inhibitory architecture develops, documented in developmental neuroscience; and third, that the diminished zones can be reactivated under specific conditions, documented in clinical sexology. These three facts are Freud's observations stripped of his theoretical superstructure. They are independently verifiable. The developmental sequence from diffuse to localized erotic sensitivity is not a Freudian hypothesis. It is a developmental observation that Freud named first and that subsequent research has confirmed through mechanisms he could not have anticipated. Rejecting the observation because of its first observer is the genetic fallacy — the evaluation of a claim by its origin rather than by its content.</w:t>
      </w:r>
    </w:p>
    <w:p w14:paraId="07FDACD7" w14:textId="77777777" w:rsidR="000F0C52" w:rsidRPr="000F0C52" w:rsidRDefault="000F0C52" w:rsidP="000F0C52">
      <w:pPr>
        <w:spacing w:before="240" w:after="240" w:line="276" w:lineRule="auto"/>
      </w:pPr>
      <w:r>
        <w:rPr>
          <w:b/>
          <w:bCs/>
        </w:rPr>
        <w:t>Objection 5: "The claims in this paper are untested speculation."</w:t>
      </w:r>
    </w:p>
    <w:p w14:paraId="29DC6A81" w14:textId="77777777" w:rsidR="000F0C52" w:rsidRDefault="000F0C52" w:rsidP="005307B5">
      <w:pPr>
        <w:spacing w:before="240" w:after="240" w:line="276" w:lineRule="auto"/>
      </w:pPr>
      <w:r>
        <w:lastRenderedPageBreak/>
        <w:t>The paper invites empirical refutation on every claim it makes. If the microbiome transfer hypothesis is incorrect, demonstrate that oral-genital and anal-genital contact do not produce measurable shifts in gut microbiome composition. If the domain-general degradation hypothesis is incorrect, demonstrate that chronic engagement in the described behaviors does not correlate with prefrontal grey matter reduction, dopamine receptor downregulation, or executive function decline. If the Kühn and Gallinat findings do not extend from visual stimulation to physical behavior, produce the neuroimaging data. If erotogenic zone extinction is not mediated by GABAergic maturation, identify the alternative mechanism. Each claim in this paper generates a specific, falsifiable prediction. A framework that names its mechanisms and invites their refutation is not speculation. It is science at the hypothesis stage — precisely where every empirically confirmed theory began. Researchers who dismiss the framework without testing its predictions are not practicing science. They are declining to practice it.</w:t>
      </w:r>
    </w:p>
    <w:p w14:paraId="07EEABC3" w14:textId="77777777" w:rsidR="00914818" w:rsidRPr="00914818" w:rsidRDefault="00914818" w:rsidP="00914818">
      <w:pPr>
        <w:spacing w:before="240" w:after="240" w:line="276" w:lineRule="auto"/>
      </w:pPr>
      <w:r>
        <w:rPr>
          <w:b/>
          <w:bCs/>
        </w:rPr>
        <w:t>Objection 6: "You've smuggled teleology into a mechanical analysis. Evolution doesn't have a 'correct' direction. Calling genital primacy the terminus is a normative choice, not a biological fact."</w:t>
      </w:r>
    </w:p>
    <w:p w14:paraId="6A400399" w14:textId="77777777" w:rsidR="00914818" w:rsidRPr="00914818" w:rsidRDefault="00914818" w:rsidP="00914818">
      <w:pPr>
        <w:spacing w:before="240" w:after="240" w:line="276" w:lineRule="auto"/>
      </w:pPr>
      <w:r>
        <w:t>This is the most philosophically sophisticated attack the paper will face. The response: the paper does not claim evolution has goals. It claims evolution produced a developmental sequence — diffuse erotic sensitivity narrowing toward genital primacy through inhibitory maturation — and that this sequence is the empirically documented trajectory of normal human psychosexual development. Calling it a "terminus" means it is where the documented developmental process arrives, not where a moral authority decided it should arrive. The prefrontal cortex matures. The GABAergic system strengthens. The pre-genital circuits are suppressed. This occurs without cultural instruction, across every documented human population, through a biological mechanism that operates independently of ideology. Labeling the endpoint of a documented biological process is description, not prescription. A critic who objects that describing the endpoint is covert prescription must equally object to describing immunological maturation as having an endpoint — the mature immune system — because that too could be called a normative judgment disguised as biology. The developmental sequence exists. The paper describes it. The description is not the prescription.</w:t>
      </w:r>
    </w:p>
    <w:p w14:paraId="34D6E16B" w14:textId="77777777" w:rsidR="00914818" w:rsidRPr="00914818" w:rsidRDefault="00914818" w:rsidP="00914818">
      <w:pPr>
        <w:spacing w:before="240" w:after="240" w:line="276" w:lineRule="auto"/>
      </w:pPr>
      <w:r>
        <w:rPr>
          <w:b/>
          <w:bCs/>
        </w:rPr>
        <w:lastRenderedPageBreak/>
        <w:t>Objection 7: "Bonobos — our closest genetic relatives — engage in extensive oral and anal sexual behavior as normal social functioning. If regression, why is it adaptive in our nearest relatives?"</w:t>
      </w:r>
    </w:p>
    <w:p w14:paraId="3292A1BC" w14:textId="77777777" w:rsidR="00914818" w:rsidRPr="00914818" w:rsidRDefault="00914818" w:rsidP="00914818">
      <w:pPr>
        <w:spacing w:before="240" w:after="240" w:line="276" w:lineRule="auto"/>
      </w:pPr>
      <w:r>
        <w:t>The bonobo objection is frequently deployed and frequently misunderstood. Bonobos did not undergo the same prefrontal expansion that humans did. The human prefrontal cortex — proportionally the largest in any primate — is the structure whose maturation produces erotogenic zone extinction. Bonobos retained diffuse erotic sensitivity because they did not develop the inhibitory architecture that extinguishes it. In bonobos, these behaviors are not regression because the circuits were never suppressed. In humans, the circuits were suppressed by a structure that bonobos lack. The behavior that is baseline in a species without prefrontal inhibitory maturation is regression in a species with it. The objection proves the paper's point: the behaviors persist in species that lack the developmental achievement that extinguishes them. Humans possess that achievement. The behaviors reactivate circuits that the achievement suppressed. That is regression by definition — a return to a prior functional state that the organism's own development moved beyond.</w:t>
      </w:r>
    </w:p>
    <w:p w14:paraId="3E53774C" w14:textId="77777777" w:rsidR="00914818" w:rsidRPr="00914818" w:rsidRDefault="00914818" w:rsidP="00914818">
      <w:pPr>
        <w:spacing w:before="240" w:after="240" w:line="276" w:lineRule="auto"/>
      </w:pPr>
      <w:r>
        <w:rPr>
          <w:b/>
          <w:bCs/>
        </w:rPr>
        <w:t>Objection 8: "The Kühn and Gallinat findings show correlation, not causation. Pre-existing reduced striatal volume could drive pornography seeking, not the reverse."</w:t>
      </w:r>
    </w:p>
    <w:p w14:paraId="23147BD2" w14:textId="77777777" w:rsidR="00914818" w:rsidRPr="00914818" w:rsidRDefault="00914818" w:rsidP="00914818">
      <w:pPr>
        <w:spacing w:before="240" w:after="240" w:line="276" w:lineRule="auto"/>
      </w:pPr>
      <w:r>
        <w:t>The objection is methodologically valid for the Kühn and Gallinat study in isolation. The paper does not rest its argument on a single study. The domain-general degradation argument cites six independent mechanisms: prefrontal grey matter reduction (Goldstein and Volkow, established in addiction neuroscience through longitudinal studies demonstrating that substance use precedes structural change), dopamine receptor downregulation (Volkow's three-stage model, established through PET imaging across the addiction cycle), sublimation energy depletion (metabolic budget constraint, not correlational), GABA reduction through microbial transfer (</w:t>
      </w:r>
      <w:proofErr w:type="spellStart"/>
      <w:r>
        <w:t>Braniste</w:t>
      </w:r>
      <w:proofErr w:type="spellEnd"/>
      <w:r>
        <w:t xml:space="preserve">, Barrett, </w:t>
      </w:r>
      <w:proofErr w:type="spellStart"/>
      <w:r>
        <w:t>Strandwitz</w:t>
      </w:r>
      <w:proofErr w:type="spellEnd"/>
      <w:r>
        <w:t xml:space="preserve"> — mechanistic, not correlational), structural brain changes (Kühn and Gallinat — correlational, acknowledged), and hormonal cascade (prolactin-testosterone dynamics — endocrinological mechanism, not correlational). One of six mechanisms is vulnerable to the reverse-causation critique. Five are not. The convergence of six </w:t>
      </w:r>
      <w:r>
        <w:lastRenderedPageBreak/>
        <w:t xml:space="preserve">independent mechanisms, five of which are mechanistically rather than </w:t>
      </w:r>
      <w:proofErr w:type="spellStart"/>
      <w:r>
        <w:t>correlationally</w:t>
      </w:r>
      <w:proofErr w:type="spellEnd"/>
      <w:r>
        <w:t xml:space="preserve"> established, is not invalidated by methodological limitations in one.</w:t>
      </w:r>
    </w:p>
    <w:p w14:paraId="63DEFFA1" w14:textId="77777777" w:rsidR="00914818" w:rsidRPr="00914818" w:rsidRDefault="00914818" w:rsidP="00914818">
      <w:pPr>
        <w:spacing w:before="240" w:after="240" w:line="276" w:lineRule="auto"/>
      </w:pPr>
      <w:r>
        <w:rPr>
          <w:b/>
          <w:bCs/>
        </w:rPr>
        <w:t>Objection 9: "The microbiome transfer could be beneficial. You assume the transferred ecology is net-negative without evidence for directionality."</w:t>
      </w:r>
    </w:p>
    <w:p w14:paraId="7D01A33E" w14:textId="77777777" w:rsidR="00914818" w:rsidRPr="00914818" w:rsidRDefault="00914818" w:rsidP="00914818">
      <w:pPr>
        <w:spacing w:before="240" w:after="240" w:line="276" w:lineRule="auto"/>
      </w:pPr>
      <w:r>
        <w:t>The objection identifies a genuine gap in the evidence. The paper does not claim that every instance of microbiome transfer through sexual contact is harmful. It claims that a closed feedback loop exists in which transferred microbiome can modulate neural axes in the direction of increased drive and decreased inhibition, favoring behavioral repetition. Whether any given transfer event is net-positive or net-negative depends on the specific bacterial ecology transferred and the recipient's existing microbiome composition. The paper's prediction is specific: the bacterial strains that most effectively promote their own retransfer — those that amplify reward-seeking and suppress inhibition — will be disproportionately represented in the transferred ecology over time, because they propagate more successfully than strains that do not promote retransfer. This is a Darwinian prediction about selection pressure on the transferred ecology, not an assumption about every transfer event. The prediction is testable: compare the microbiome composition of individuals engaging in frequent oral-genital contact with matched controls and assess whether the divergence favors bacterial strains associated with increased dopaminergic tone and decreased GABAergic production.</w:t>
      </w:r>
    </w:p>
    <w:p w14:paraId="42E086F9" w14:textId="77777777" w:rsidR="00914818" w:rsidRPr="00914818" w:rsidRDefault="00914818" w:rsidP="00914818">
      <w:pPr>
        <w:spacing w:before="240" w:after="240" w:line="276" w:lineRule="auto"/>
      </w:pPr>
      <w:r>
        <w:rPr>
          <w:b/>
          <w:bCs/>
        </w:rPr>
        <w:t>Objection 10: "Ancient Greece practiced these behaviors extensively without collapsing from sexual regression. The civilizational degradation prediction is historically falsified."</w:t>
      </w:r>
    </w:p>
    <w:p w14:paraId="3AA6C544" w14:textId="77777777" w:rsidR="00914818" w:rsidRPr="00914818" w:rsidRDefault="00914818" w:rsidP="00914818">
      <w:pPr>
        <w:spacing w:before="240" w:after="240" w:line="276" w:lineRule="auto"/>
      </w:pPr>
      <w:r>
        <w:t xml:space="preserve">The objection misreads the prediction. The paper does not claim that sexual regression is the sole cause of civilizational collapse. It claims that normalized regression at population scale produces aggregate degradation of inhibitory systems — one vector among many that can contribute to institutional and civilizational decline. Ancient Greece did in fact experience progressive institutional degradation during its late period, characterized by precisely the symptoms the framework predicts: declining civic participation, increasing hedonism, erosion of the military discipline that sustained the city-states, and eventual inability to resist external conquest. Whether sexual regression </w:t>
      </w:r>
      <w:r>
        <w:lastRenderedPageBreak/>
        <w:t>contributed to this decline or merely accompanied it is an empirical question the historical record cannot cleanly resolve. The paper's prediction is prospective, not retrospective: a population that normalizes these behaviors at scale will experience measurable aggregate decline in prefrontal function, executive capacity, and inhibitory tone. This prediction is testable in present populations through neuroimaging and longitudinal behavioral studies. It does not require historical validation to stand or fall.</w:t>
      </w:r>
    </w:p>
    <w:p w14:paraId="2AEA8E22" w14:textId="77777777" w:rsidR="00914818" w:rsidRPr="00914818" w:rsidRDefault="00914818" w:rsidP="00914818">
      <w:pPr>
        <w:spacing w:before="240" w:after="240" w:line="276" w:lineRule="auto"/>
      </w:pPr>
      <w:r>
        <w:rPr>
          <w:b/>
          <w:bCs/>
        </w:rPr>
        <w:t xml:space="preserve">Objection 11: "You're applying addiction research to moderate behavior. Moderate alcohol consumption doesn't produce alcoholism. Moderate engagement in these behaviors wouldn't produce the </w:t>
      </w:r>
      <w:proofErr w:type="spellStart"/>
      <w:r>
        <w:rPr>
          <w:b/>
          <w:bCs/>
        </w:rPr>
        <w:t>effects you</w:t>
      </w:r>
      <w:proofErr w:type="spellEnd"/>
      <w:r>
        <w:rPr>
          <w:b/>
          <w:bCs/>
        </w:rPr>
        <w:t xml:space="preserve"> describe."</w:t>
      </w:r>
    </w:p>
    <w:p w14:paraId="035B6C52" w14:textId="77777777" w:rsidR="00914818" w:rsidRDefault="00914818" w:rsidP="000E342A">
      <w:pPr>
        <w:spacing w:line="276" w:lineRule="auto"/>
      </w:pPr>
      <w:r>
        <w:t>The objection has genuine force and the paper should acknowledge it directly. The domain-general degradation documented in Part VI is dose-dependent. Kühn and Gallinat's findings are explicitly dose-dependent — structural changes correlate with frequency of consumption. The paper's prediction applies with greatest force to chronic, compulsive, and escalating engagement — the pattern the regression signature in Objection 3 identifies. Moderate, non-escalating engagement within a stable pair bond would be predicted to produce smaller effects, potentially offset by the oxytocin-mediated bonding consolidation described in Part VII. The paper's civilizational argument, however, concerns population-level normalization — cultural conditions under which the behavior is not moderate but celebrated, monetized, algorithmically promoted, and escalated through the novelty-seeking dynamics inherent in dopamine-driven reward systems. The distinction between moderate individual engagement and population-scale normalization is the distinction between one person having a glass of wine and a civilization building its social infrastructure around alcohol distribution. The individual dose may be moderate. The population dose is not.</w:t>
      </w:r>
    </w:p>
    <w:p w14:paraId="65574194" w14:textId="77777777" w:rsidR="00933544" w:rsidRDefault="00933544" w:rsidP="00933544">
      <w:pPr>
        <w:pBdr>
          <w:bottom w:val="single" w:sz="4" w:space="1" w:color="auto"/>
        </w:pBdr>
        <w:spacing w:before="240" w:after="240" w:line="276" w:lineRule="auto"/>
      </w:pPr>
    </w:p>
    <w:p w14:paraId="5F7BC905" w14:textId="77777777" w:rsidR="00933544" w:rsidRDefault="00933544" w:rsidP="00933544">
      <w:pPr>
        <w:spacing w:before="240" w:after="240" w:line="276" w:lineRule="auto"/>
        <w:rPr>
          <w:b/>
          <w:bCs/>
          <w:sz w:val="34"/>
          <w:szCs w:val="34"/>
        </w:rPr>
      </w:pPr>
      <w:r>
        <w:rPr>
          <w:b/>
          <w:bCs/>
          <w:sz w:val="34"/>
          <w:szCs w:val="34"/>
        </w:rPr>
        <w:t>XI. Meta-Proofs</w:t>
      </w:r>
    </w:p>
    <w:p w14:paraId="2ADBA121" w14:textId="77777777" w:rsidR="006A190C" w:rsidRDefault="00000000">
      <w:pPr>
        <w:spacing w:before="240" w:after="240" w:line="276" w:lineRule="auto"/>
        <w:jc w:val="both"/>
      </w:pPr>
      <w:r>
        <w:rPr>
          <w:i/>
          <w:iCs/>
        </w:rPr>
        <w:t xml:space="preserve">The preceding sections describe specific regressions. The following proofs establish why regression follows this specific pattern, why it escalates, why it is asymmetrically easier than the maturation it reverses, and why it is self-reinforcing. </w:t>
      </w:r>
      <w:r>
        <w:rPr>
          <w:i/>
          <w:iCs/>
        </w:rPr>
        <w:lastRenderedPageBreak/>
        <w:t>These are not additional arguments. They are the structural logic beneath the arguments already presented.</w:t>
      </w:r>
    </w:p>
    <w:p w14:paraId="3C4D5E6F" w14:textId="77777777" w:rsidR="006A190C" w:rsidRDefault="00000000">
      <w:pPr>
        <w:spacing w:before="240" w:after="240" w:line="276" w:lineRule="auto"/>
        <w:jc w:val="both"/>
      </w:pPr>
      <w:r>
        <w:t>Before proceeding, a note on the model’s epistemic standing. No single existing framework—not Freudian psychosexual theory, not the standard addiction model, not microbiome science, not evolutionary psychology—predicts all of the following simultaneously: practice-specific microbiome signatures preceding disease endpoints, immune activation through transferred microbial ecology, behavioral phenotype transfer through microbiome transplant, dose-dependent escalation through sequential circuit reactivation, generational propagation through vertical transmission of the altered ecology, and population-level inhibitory degradation. Each existing framework predicts a subset. Only the primordial loop model generates all six predictions from a single structural operation—the incorporation of conspecific biological material through a specialized opening, producing state changes that favor repetition. Of the predictions that have already been tested empirically—practice-specific microbiome signatures, immune activation, behavioral transfer through FMT, and the density-ranked transfer hierarchy—all have been confirmed. The remaining predictions—direct demonstration that practice-induced microbiome shifts reduce GABAergic inhibitory tone and increase sexual compulsivity in the same individuals, and longitudinal population-level neuroimaging confirming aggregate prefrontal degradation—are specified with sufficient precision to be falsified. A model that derives six independent testable predictions from one mechanism, four of which are already confirmed, is not speculation. It is a theory with discriminative power operating at the hypothesis stage.</w:t>
      </w:r>
    </w:p>
    <w:p w14:paraId="46C1406F" w14:textId="77777777" w:rsidR="006A190C" w:rsidRDefault="00000000">
      <w:pPr>
        <w:spacing w:before="240" w:after="240" w:line="276" w:lineRule="auto"/>
      </w:pPr>
      <w:r>
        <w:rPr>
          <w:b/>
          <w:bCs/>
        </w:rPr>
        <w:t>Meta-Proof 1: The Thermodynamic Asymmetry</w:t>
      </w:r>
    </w:p>
    <w:p w14:paraId="7ED1CD2B" w14:textId="77777777" w:rsidR="006A190C" w:rsidRDefault="00000000" w:rsidP="00DA01C6">
      <w:pPr>
        <w:spacing w:before="240" w:line="276" w:lineRule="auto"/>
        <w:jc w:val="both"/>
      </w:pPr>
      <w:r>
        <w:t>Erotogenic zone extinction is an active process. The prefrontal cortex must maintain tonic inhibitory output through GABAergic transmission to keep dormant circuits suppressed. This maintenance costs metabolic energy continuously. Every moment an extinct circuit stays extinct, the inhibitory system is spending energy to hold it below activation threshold. The brain consumes approximately 20% of the body’s total metabolic energy despite constituting roughly 2% of body mass (Attwell and Laughlin, 2001), and a substantial fraction of this expenditure services inhibitory maintenance.</w:t>
      </w:r>
    </w:p>
    <w:p w14:paraId="60054F39" w14:textId="3E2B11FF" w:rsidR="00DA01C6" w:rsidRDefault="00DA01C6" w:rsidP="00DA01C6">
      <w:pPr>
        <w:spacing w:line="276" w:lineRule="auto"/>
        <w:jc w:val="both"/>
      </w:pPr>
      <w:r>
        <w:lastRenderedPageBreak/>
        <w:t>Kujala et al. (2024), using combined magnetoencephalography, fMRI, and Flumazenil positron emission tomography, demonstrated that GABAA receptor density in the prefrontal cortex correlates directly with working memory performance — confirming that tonic inhibitory architecture is not passive structure but active, metabolically expensive infrastructure whose functional output degrades when its maintenance is disrupted. GABAergic neurotransmission in the prefrontal cortex remains under active construction throughout adolescence (Arain et al., 2013), and the delayed development of this system is directly implicated in the impulsivity and risk-taking characteristic of the adolescent period, when the inhibitory architecture is incomplete.</w:t>
      </w:r>
    </w:p>
    <w:p w14:paraId="3E32311B" w14:textId="2F295742" w:rsidR="006A190C" w:rsidRDefault="00DA01C6" w:rsidP="00DA01C6">
      <w:pPr>
        <w:spacing w:line="276" w:lineRule="auto"/>
        <w:jc w:val="both"/>
      </w:pPr>
      <w:r>
        <w:t xml:space="preserve"> Regression requires only that the inhibitory expenditure fall below the circuit’s activation threshold. Maintenance is metabolically expensive. Failure is free. This is the second law of thermodynamics applied to neural architecture: differentiated states require energy to maintain; undifferentiated states are thermodynamically favored. Regression is downhill. Maturation is uphill. Any sustained reduction in inhibitory capacity — through substance use, microbiome disruption, chronic override, sleep deprivation, chronic stress — will produce regression before it produces any other cognitive effect, because the suppressed circuits are under continuous energetic pressure to reactivate and require only a momentary lapse in the inhibitory system to breach threshold. The question is never whether regression will occur under sufficient inhibitory degradation. The question is only when.</w:t>
      </w:r>
    </w:p>
    <w:p w14:paraId="2692B652" w14:textId="77777777" w:rsidR="006A190C" w:rsidRDefault="00000000">
      <w:pPr>
        <w:spacing w:before="240" w:after="240" w:line="276" w:lineRule="auto"/>
      </w:pPr>
      <w:r>
        <w:rPr>
          <w:b/>
          <w:bCs/>
        </w:rPr>
        <w:t>Meta-Proof 2: The Depth-Chronology Principle</w:t>
      </w:r>
    </w:p>
    <w:p w14:paraId="656935A3" w14:textId="77777777" w:rsidR="006A190C" w:rsidRDefault="00000000" w:rsidP="00DA01C6">
      <w:pPr>
        <w:spacing w:before="240" w:line="276" w:lineRule="auto"/>
        <w:jc w:val="both"/>
      </w:pPr>
      <w:r>
        <w:t>The three regressions described in this paper are ordered by developmental chronology — birth, suckling, anal stage. This ordering reflects a mechanical principle: circuits encoded earlier in development are encoded deeper in the neural architecture, in phylogenetically older brain structures, with less cortical oversight. The birth canal sensory signature is encoded in the olfactory bulb and brainstem — structures that predate the cortex. The suckling reflex is encoded in brainstem motor programs and early limbic circuitry. The anal erotic circuit is encoded in the enteric nervous system and limbic structures. Each successive circuit resides in progressively more recently evolved architecture.</w:t>
      </w:r>
    </w:p>
    <w:p w14:paraId="103BA3DB" w14:textId="5036AE0F" w:rsidR="006A190C" w:rsidRDefault="00DA01C6" w:rsidP="00DA01C6">
      <w:pPr>
        <w:spacing w:line="276" w:lineRule="auto"/>
        <w:jc w:val="both"/>
      </w:pPr>
      <w:r>
        <w:t xml:space="preserve">  This phylogenetic ordering is confirmed by the well-documented back-to-front pattern of brain development: sensory and motor cortices mature first, followed by </w:t>
      </w:r>
      <w:r>
        <w:lastRenderedPageBreak/>
        <w:t>association areas, with the prefrontal cortex maturing last — not reaching structural completion until approximately age 25 (Miller et al., 2012). Miller et al. demonstrated through histological analysis that prolonged myelination of the human neocortex, particularly in frontopolar cortex, continues into the third decade of life — a pattern unique to humans among primates.</w:t>
      </w:r>
    </w:p>
    <w:p w14:paraId="59DA2FF8" w14:textId="2AFAF916" w:rsidR="00DA01C6" w:rsidRDefault="00DA01C6" w:rsidP="00DA01C6">
      <w:pPr>
        <w:spacing w:line="276" w:lineRule="auto"/>
        <w:jc w:val="both"/>
      </w:pPr>
      <w:r>
        <w:t xml:space="preserve">  Regression follows the reverse order of this hierarchy. The most recently acquired functions — genital primacy, mature sexual restraint — are maintained by the most recently matured inhibitory architecture, the dorsolateral prefrontal cortex, and are therefore the first to fail when that architecture degrades. Deeper circuits, suppressed by older and more robust inhibitory mechanisms, require more severe degradation to reactivate.</w:t>
      </w:r>
    </w:p>
    <w:p w14:paraId="20822B4E" w14:textId="1EA3D466" w:rsidR="006A190C" w:rsidRDefault="00DA01C6" w:rsidP="00DA01C6">
      <w:pPr>
        <w:spacing w:line="276" w:lineRule="auto"/>
        <w:jc w:val="both"/>
      </w:pPr>
      <w:r>
        <w:t xml:space="preserve">  This predicts escalation. Initial regression reactivates the most superficially suppressed circuits — genital variants and moderate novelty-seeking. Continued degradation reactivates deeper circuits — oral and anal. Severe degradation reactivates the deepest circuits — the diffuse whole-body erotic sensitivity of infancy, which manifests clinically as polymorphous perversity. The escalation pattern observed in compulsive sexual behavior — progressive recruitment of more extreme stimuli — is not psychological thrill-seeking. It is the sequential reactivation of progressively deeper circuits as progressive inhibitory degradation reaches progressively older architecture. The depth predicts the sequence. The sequence confirms the depth.</w:t>
      </w:r>
    </w:p>
    <w:p w14:paraId="3CC40F1A" w14:textId="77777777" w:rsidR="006A190C" w:rsidRDefault="00000000">
      <w:pPr>
        <w:spacing w:before="240" w:after="240" w:line="276" w:lineRule="auto"/>
      </w:pPr>
      <w:r>
        <w:rPr>
          <w:b/>
          <w:bCs/>
        </w:rPr>
        <w:t>Meta-Proof 3: The Construction-Destruction Asymmetry</w:t>
      </w:r>
    </w:p>
    <w:p w14:paraId="29CD0D7A" w14:textId="77777777" w:rsidR="00DA01C6" w:rsidRDefault="00000000" w:rsidP="00DA01C6">
      <w:pPr>
        <w:spacing w:line="276" w:lineRule="auto"/>
        <w:jc w:val="both"/>
      </w:pPr>
      <w:r>
        <w:t>Erotogenic zone extinction requires approximately twenty-five years of progressive prefrontal myelination and GABAergic system maturation. Miller et al. (2012), in a histological study published in the Proceedings of the National Academy of Sciences, confirmed that pronounced increases in the density of myelinated axons in the human neocortex continue after adolescence and into the third decade, providing direct evidence of extraordinary prolonged neocortical maturation unique to the human species. Each oligodendrocyte must wrap myelin around each axon individually. Each inhibitory synapse must be strengthened through use-dependent plasticity across thousands of developmental branch points. The process is sequential, cumulative, and irreducibly slow because it depends on biological construction that cannot be accelerated past the rate of cellular machinery.</w:t>
      </w:r>
    </w:p>
    <w:p w14:paraId="101A2842" w14:textId="5A4F8FAA" w:rsidR="006A190C" w:rsidRDefault="00DA01C6" w:rsidP="00DA01C6">
      <w:pPr>
        <w:spacing w:line="276" w:lineRule="auto"/>
        <w:jc w:val="both"/>
      </w:pPr>
      <w:r>
        <w:lastRenderedPageBreak/>
        <w:t>Reactivation can occur in a single sufficiently intense experience. One episode of childhood sexual abuse during the developmental window. One pharmacological disinhibition event. One supraphysiological stimulus that overwhelms the mature inhibitory threshold. The breach requires only that the maintenance signal fall below threshold — achievable in seconds through pharmacological intervention, in hours through sleep deprivation, in weeks through chronic stress, in months through microbiome disruption.</w:t>
      </w:r>
    </w:p>
    <w:p w14:paraId="5F9754E5" w14:textId="5391C704" w:rsidR="00DA01C6" w:rsidRDefault="00DA01C6" w:rsidP="00DA01C6">
      <w:pPr>
        <w:spacing w:line="276" w:lineRule="auto"/>
        <w:jc w:val="both"/>
      </w:pPr>
      <w:r>
        <w:t xml:space="preserve">  </w:t>
      </w:r>
      <w:proofErr w:type="spellStart"/>
      <w:r>
        <w:t>Nawreen</w:t>
      </w:r>
      <w:proofErr w:type="spellEnd"/>
      <w:r>
        <w:t xml:space="preserve"> et al. (2024) demonstrated that just two weeks of chronic variable stress in mice produced measurable prefrontal dysfunction — hyperactivity, anhedonia, increased anxiety — mediated specifically through plastic changes in prefrontal parvalbumin-expressing GABAergic interneurons. The inhibitory architecture that required years to construct was functionally compromised in fourteen days. The construction-destruction asymmetry is not theoretical. It is experimentally confirmed: decades to build, weeks to degrade under sustained stress.</w:t>
      </w:r>
    </w:p>
    <w:p w14:paraId="1A864307" w14:textId="6DF1BCE1" w:rsidR="006A190C" w:rsidRDefault="00DA01C6" w:rsidP="00DA01C6">
      <w:pPr>
        <w:spacing w:line="276" w:lineRule="auto"/>
        <w:jc w:val="both"/>
      </w:pPr>
      <w:r>
        <w:t xml:space="preserve">  Twenty-five years to build. Seconds to breach. The asymmetry is not incidental. It is an engineering constraint inherent in the difference between construction and destruction. Building a bridge requires placing each structural element in sequence. Destroying a bridge requires removing one load-bearing element. Any civilization that creates conditions favorable to inhibitory degradation at population scale — chronic stress, substance availability, sleep disruption, microbiome-disrupting diet, algorithmically optimized sexual stimulation — will experience regression faster than its educational and developmental systems can produce maturation. The regression outpaces the maturation because destruction is always faster than construction. This is not a moral observation. It is a physical law.</w:t>
      </w:r>
    </w:p>
    <w:p w14:paraId="2BC62C3A" w14:textId="77777777" w:rsidR="006A190C" w:rsidRDefault="00000000">
      <w:pPr>
        <w:spacing w:before="240" w:after="240" w:line="276" w:lineRule="auto"/>
      </w:pPr>
      <w:r>
        <w:rPr>
          <w:b/>
          <w:bCs/>
        </w:rPr>
        <w:t>Meta-Proof 4: The Self-Reinforcing Cascade</w:t>
      </w:r>
    </w:p>
    <w:p w14:paraId="6C9B67E3" w14:textId="77777777" w:rsidR="006A190C" w:rsidRDefault="00000000" w:rsidP="00DA01C6">
      <w:pPr>
        <w:spacing w:before="240" w:line="276" w:lineRule="auto"/>
        <w:jc w:val="both"/>
      </w:pPr>
      <w:r>
        <w:t>Reactivation of one extinct circuit makes reactivation of the next deeper circuit more probable through two simultaneous mechanisms operating from opposite directions.</w:t>
      </w:r>
    </w:p>
    <w:p w14:paraId="21F89439" w14:textId="7CB6935A" w:rsidR="00DA01C6" w:rsidRDefault="00DA01C6" w:rsidP="00DA01C6">
      <w:pPr>
        <w:spacing w:line="276" w:lineRule="auto"/>
        <w:jc w:val="both"/>
      </w:pPr>
      <w:r>
        <w:t xml:space="preserve">  From behind: each reactivated circuit, once engaged chronically, degrades the prefrontal inhibitory system through use-dependent plasticity operating in reverse — the inhibitory architecture that is not exercising its suppressive function on the reactivated circuit weakens through disuse, while the reactivated circuit strengthens through use. Goldstein and Volkow (2011) documented this process in addiction: chronic override produces measurable reductions in prefrontal grey matter volume </w:t>
      </w:r>
      <w:r>
        <w:lastRenderedPageBreak/>
        <w:t>and metabolic activity. The inhibitory threshold for the next deeper circuit drops. The barrier between the current regression level and the next is physically thinned.</w:t>
      </w:r>
    </w:p>
    <w:p w14:paraId="4D834015" w14:textId="36EB3130" w:rsidR="006A190C" w:rsidRDefault="00DA01C6" w:rsidP="00DA01C6">
      <w:pPr>
        <w:spacing w:line="276" w:lineRule="auto"/>
        <w:jc w:val="both"/>
      </w:pPr>
      <w:r>
        <w:t xml:space="preserve">  From ahead: each reactivated circuit recruits the dopaminergic reward system at supranormal intensity, because the circuit was designed to operate under infantile conditions where reward sensitivity is maximal and inhibitory regulation is minimal. The supranormal reward activation produces dopamine receptor downregulation. Volkow, Koob, and McLellan (2016) formalized this three-stage process: binge/intoxication producing reward-system hijacking, withdrawal/negative affect producing motivational deficit, and preoccupation/anticipation producing compulsive seeking. The downregulation reduces the reward available from the currently reactivated circuit. The diminished reward drives novelty-seeking — the search for a stimulus intense enough to produce the original reward intensity through downregulated receptors. The only available stimuli more intense than the current circuit are the deeper circuits still dormant beneath it.</w:t>
      </w:r>
    </w:p>
    <w:p w14:paraId="60AAE4B3" w14:textId="53A1864A" w:rsidR="00DA01C6" w:rsidRDefault="00DA01C6" w:rsidP="00DA01C6">
      <w:pPr>
        <w:spacing w:line="276" w:lineRule="auto"/>
        <w:jc w:val="both"/>
      </w:pPr>
      <w:r>
        <w:t xml:space="preserve">  Kühn and Gallinat (2014) provided structural confirmation: pornography consumption alone — without physical contact — produced dose-dependent reductions in right caudate grey matter volume and reduced functional connectivity between the striatum and the prefrontal cortex. The structural evidence confirms that the reward system and the inhibitory system are simultaneously degraded by the same stimulation, creating the bidirectional pressure the cascade requires.</w:t>
      </w:r>
    </w:p>
    <w:p w14:paraId="5018E728" w14:textId="0CFBE425" w:rsidR="006A190C" w:rsidRDefault="00DA01C6" w:rsidP="00DA01C6">
      <w:pPr>
        <w:spacing w:line="276" w:lineRule="auto"/>
        <w:jc w:val="both"/>
      </w:pPr>
      <w:r>
        <w:t xml:space="preserve">  The person escalates — not by conscious choice to become more perverse, but by mechanical necessity. The current circuit no longer produces sufficient reward. The only circuits capable of producing sufficient reward through downregulated receptors are the deeper ones requiring greater inhibitory degradation to access. Push from behind through degraded inhibition. Pull from ahead through escalating reward requirements. The cascade is self-reinforcing from both ends simultaneously. This is why compulsive sexual behavior follows a predictable escalation trajectory clinically: not because the person chose escalation, but because the neuropharmacology of the first regression mechanically produces the conditions for the second.</w:t>
      </w:r>
    </w:p>
    <w:p w14:paraId="6668C371" w14:textId="77777777" w:rsidR="006A190C" w:rsidRDefault="00000000">
      <w:pPr>
        <w:spacing w:before="240" w:after="240" w:line="276" w:lineRule="auto"/>
      </w:pPr>
      <w:r>
        <w:rPr>
          <w:b/>
          <w:bCs/>
        </w:rPr>
        <w:t>Meta-Proof 5: Regression as Dedifferentiation</w:t>
      </w:r>
    </w:p>
    <w:p w14:paraId="593200D2" w14:textId="77777777" w:rsidR="00DA01C6" w:rsidRDefault="00000000" w:rsidP="00DA01C6">
      <w:pPr>
        <w:spacing w:line="276" w:lineRule="auto"/>
        <w:jc w:val="both"/>
      </w:pPr>
      <w:r>
        <w:lastRenderedPageBreak/>
        <w:t>The deepest principle unifying all three regressions is that each one reverses a specific differentiation event in the developmental or evolutionary history of the organism.</w:t>
      </w:r>
    </w:p>
    <w:p w14:paraId="237A7F5B" w14:textId="045F6236" w:rsidR="006A190C" w:rsidRDefault="00DA01C6" w:rsidP="00DA01C6">
      <w:pPr>
        <w:spacing w:line="276" w:lineRule="auto"/>
        <w:jc w:val="both"/>
      </w:pPr>
      <w:r>
        <w:t xml:space="preserve">  Differentiation is the process by which undifferentiated precursor states become specialized. Undifferentiated cells become differentiated tissues. Undifferentiated erotic sensitivity becomes localized genital primacy. A single undifferentiated opening — the cloaca — becomes three separate anatomical systems. Each differentiation event represents an increase in structural complexity maintained by continuous energetic expenditure.</w:t>
      </w:r>
    </w:p>
    <w:p w14:paraId="1FEAA6B5" w14:textId="77777777" w:rsidR="00DA01C6" w:rsidRDefault="00000000" w:rsidP="00DA01C6">
      <w:pPr>
        <w:spacing w:line="276" w:lineRule="auto"/>
        <w:jc w:val="both"/>
      </w:pPr>
      <w:r>
        <w:t>Every regression described in this paper is the reversal of one of these differentiation events. Oral-vaginal regression reverses the differentiation between the birth sensory experience and adult sexual function. Oral-penile regression reverses the differentiation between feeding and sexual function. Anal regression reverses the differentiation between elimination and reproduction. The principle is universal: regression is dedifferentiation — the loss of acquired specialization when the energy required to maintain that specialization is no longer supplied.</w:t>
      </w:r>
    </w:p>
    <w:p w14:paraId="6C77DF9F" w14:textId="0AF6C016" w:rsidR="006A190C" w:rsidRDefault="00DA01C6" w:rsidP="00DA01C6">
      <w:pPr>
        <w:spacing w:line="276" w:lineRule="auto"/>
        <w:jc w:val="both"/>
      </w:pPr>
      <w:r>
        <w:t xml:space="preserve">  This is not analogy. It is the same operation at every biological scale. When a differentiated cell loses the regulatory signals that maintain its specialization, it reverts toward its undifferentiated precursor state. The clinical name for cellular dedifferentiation is cancer — the loss of specialized function, the return to unregulated proliferation, the failure of the control mechanisms that constrained the cell within its mature role. When a differentiated neural circuit loses the inhibitory signal that maintains its suppression, it reverts toward its undifferentiated precursor state. The clinical name for neural dedifferentiation is regression — the loss of developmental achievement, the return to primitive function, the failure of the inhibitory mechanisms that constrained the circuit within its mature role.</w:t>
      </w:r>
    </w:p>
    <w:p w14:paraId="7FE6B11D" w14:textId="7AF4520C" w:rsidR="00DA01C6" w:rsidRDefault="00DA01C6" w:rsidP="00DA01C6">
      <w:pPr>
        <w:spacing w:line="276" w:lineRule="auto"/>
        <w:jc w:val="both"/>
      </w:pPr>
      <w:r>
        <w:t xml:space="preserve">  Cancer is cellular dedifferentiation. Perversion is neural dedifferentiation. Both are the thermodynamically favored outcome when maintenance energy is withdrawn from a differentiated system. Both follow the same topology: a specialized state maintained by continuous energetic expenditure reverts toward its unspecialized precursor when that expenditure ceases. Both are progressive — initial dedifferentiation reduces the energy available to maintain adjacent differentiations, accelerating the next reversion event. Both are easier to initiate than to reverse, because construction requires sequential assembly while destruction requires only the withdrawal of maintenance.</w:t>
      </w:r>
    </w:p>
    <w:p w14:paraId="7A3B0CC0" w14:textId="01630B1E" w:rsidR="006A190C" w:rsidRDefault="00DA01C6" w:rsidP="00DA01C6">
      <w:pPr>
        <w:spacing w:line="276" w:lineRule="auto"/>
        <w:jc w:val="both"/>
      </w:pPr>
      <w:r>
        <w:lastRenderedPageBreak/>
        <w:t>The primordial loop is the mechanism through which sexual-neural dedifferentiation becomes self-reinforcing: each regression event reduces the inhibitory energy available to maintain the remaining differentiations, accelerating the next regression event. The organism does not choose to dedifferentiate. The organism fails to maintain differentiation, and dedifferentiation follows as the thermodynamically favored state. The civilization that withdraws cultural support for inhibitory maintenance — by normalizing regression, monetizing it, algorithmically promoting it, and reframing it as liberation — is a civilization that has withdrawn the maintenance energy from its own developmental achievement. The dedifferentiation that follows is not punishment. It is physics.</w:t>
      </w:r>
    </w:p>
    <w:p w14:paraId="466511FE" w14:textId="77777777" w:rsidR="006A190C" w:rsidRDefault="00000000">
      <w:pPr>
        <w:spacing w:before="240" w:after="240" w:line="276" w:lineRule="auto"/>
      </w:pPr>
      <w:r>
        <w:rPr>
          <w:b/>
          <w:bCs/>
        </w:rPr>
        <w:t>Meta-Proof 6: The Microbial Regression Confirmation</w:t>
      </w:r>
    </w:p>
    <w:p w14:paraId="2E701B03" w14:textId="77777777" w:rsidR="006A190C" w:rsidRDefault="00000000" w:rsidP="00DA01C6">
      <w:pPr>
        <w:spacing w:before="240" w:line="276" w:lineRule="auto"/>
        <w:jc w:val="both"/>
      </w:pPr>
      <w:r>
        <w:t>The regression thesis of this paper — that the described sexual behaviors reverse developmental and evolutionary differentiation — receives independent confirmation from a domain the paper’s original argument did not anticipate: population-level gut microbiome analysis.</w:t>
      </w:r>
    </w:p>
    <w:p w14:paraId="6DD4BBBF" w14:textId="33F62ECC" w:rsidR="00DA01C6" w:rsidRDefault="00DA01C6" w:rsidP="00DA01C6">
      <w:pPr>
        <w:spacing w:line="276" w:lineRule="auto"/>
        <w:jc w:val="both"/>
      </w:pPr>
      <w:r>
        <w:t xml:space="preserve">  Huang et al. (2024), using shotgun metagenomics published in Cell Reports Medicine, demonstrated that men who engage in these sexual practices carry a gut microbiome that is structurally distinct from the general Western population. Approximately 70 percent carried multiple </w:t>
      </w:r>
      <w:proofErr w:type="spellStart"/>
      <w:r>
        <w:t>Segatella</w:t>
      </w:r>
      <w:proofErr w:type="spellEnd"/>
      <w:r>
        <w:t xml:space="preserve"> species and other </w:t>
      </w:r>
      <w:proofErr w:type="spellStart"/>
      <w:r>
        <w:t>Prevotellaceae</w:t>
      </w:r>
      <w:proofErr w:type="spellEnd"/>
      <w:r>
        <w:t xml:space="preserve"> family members — a microbial ecology found in roughly 10 percent of the general Western population but in approximately 90 percent of people living in non-industrialized regions. The sexual practices produced a gut microbiome that resembles pre-industrial, non-Westernized populations. Machine learning analysis linked specific sexual activities — including oral sex, unprotected anal intercourse, and frequent partner changes — to specific microbial community features. The alteration is practice-specific, measurable, and additive: combinations of sexual practices produce cumulative microbiome shifts.</w:t>
      </w:r>
    </w:p>
    <w:p w14:paraId="42D79DF5" w14:textId="73EF7FAC" w:rsidR="006A190C" w:rsidRDefault="00DA01C6" w:rsidP="00DA01C6">
      <w:pPr>
        <w:spacing w:line="276" w:lineRule="auto"/>
        <w:jc w:val="both"/>
      </w:pPr>
      <w:r>
        <w:t xml:space="preserve">  This finding independently confirms the regression thesis at the microbial level. The paper argues that the described behaviors are structural regressions to evolutionarily and developmentally earlier states. The microbiome data demonstrates that the body’s microbial ecology undergoes a parallel regression — reverting from a Westernized composition to one resembling pre-industrial populations through the exact transfer pathways this paper describes. The behavioral </w:t>
      </w:r>
      <w:r>
        <w:lastRenderedPageBreak/>
        <w:t>regression and the microbial regression occur simultaneously through the same acts. Neither was derived from the other. Both converge on the same conclusion: the behaviors reverse acquired differentiation.</w:t>
      </w:r>
    </w:p>
    <w:p w14:paraId="6C447E36" w14:textId="7D5688A6" w:rsidR="00DA01C6" w:rsidRDefault="00DA01C6" w:rsidP="00DA01C6">
      <w:pPr>
        <w:spacing w:line="276" w:lineRule="auto"/>
        <w:jc w:val="both"/>
      </w:pPr>
      <w:r>
        <w:t xml:space="preserve">  The downstream consequences of the transferred ecology extend beyond microbial composition. Researchers at the University of Colorado Anschutz Medical Campus transplanted stool samples from men who engage in these practices into germ-free mice (Armstrong et al., 2018). The mice receiving these samples showed increased activation of CD4+ T cells — the immune cells most relevant to inflammatory signaling and HIV susceptibility. Human gut-derived immune cells exposed to the same fecal bacteria showed increased susceptibility to HIV infection in vitro. The transferred ecology does not merely change microbial composition. It changes immune function in the recipient.</w:t>
      </w:r>
    </w:p>
    <w:p w14:paraId="25EF9790" w14:textId="26BF220A" w:rsidR="006A190C" w:rsidRDefault="00DA01C6" w:rsidP="00DA01C6">
      <w:pPr>
        <w:spacing w:line="276" w:lineRule="auto"/>
        <w:jc w:val="both"/>
      </w:pPr>
      <w:r>
        <w:t xml:space="preserve">  Coleman et al. (2020), published in Gut Microbes, identified specific bacteria enriched in the altered microbiome — </w:t>
      </w:r>
      <w:proofErr w:type="spellStart"/>
      <w:r>
        <w:t>Catenibacterium</w:t>
      </w:r>
      <w:proofErr w:type="spellEnd"/>
      <w:r>
        <w:t xml:space="preserve"> </w:t>
      </w:r>
      <w:proofErr w:type="spellStart"/>
      <w:r>
        <w:t>mitsuokai</w:t>
      </w:r>
      <w:proofErr w:type="spellEnd"/>
      <w:r>
        <w:t xml:space="preserve"> and </w:t>
      </w:r>
      <w:proofErr w:type="spellStart"/>
      <w:r>
        <w:t>Holdemanella</w:t>
      </w:r>
      <w:proofErr w:type="spellEnd"/>
      <w:r>
        <w:t xml:space="preserve"> </w:t>
      </w:r>
      <w:proofErr w:type="spellStart"/>
      <w:r>
        <w:t>biformis</w:t>
      </w:r>
      <w:proofErr w:type="spellEnd"/>
      <w:r>
        <w:t xml:space="preserve"> — that positively correlated with immune cell activation and produced an elevated ratio of the proinflammatory cytokine TNF-α to the anti-inflammatory cytokine IL-10. The transferred ecology shifts the immune system toward chronic inflammation — a state independently documented to degrade prefrontal cortical function, reduce GABAergic tone, and impair executive function.</w:t>
      </w:r>
    </w:p>
    <w:p w14:paraId="1977CD64" w14:textId="12DCA182" w:rsidR="00DA01C6" w:rsidRDefault="00DA01C6" w:rsidP="00DA01C6">
      <w:pPr>
        <w:spacing w:line="276" w:lineRule="auto"/>
        <w:jc w:val="both"/>
      </w:pPr>
      <w:r>
        <w:t xml:space="preserve">  A 2024 study published in Nature Communications Biology demonstrated that pathogenic changes in gut microbial composition associated with these sexual practices precede HIV-1 infection. These changes were associated with increased levels of proinflammatory cytokines sCD14 and sCD163, and with a significant decrease in the abundance of short-chain fatty acid producing bacteria — the precise bacterial class that drives brain-derived neurotrophic factor expression and supports synaptic plasticity. The transferred ecology reduces the bacteria that support structural neural maintenance.</w:t>
      </w:r>
    </w:p>
    <w:p w14:paraId="32F325DD" w14:textId="4FAE2323" w:rsidR="006A190C" w:rsidRDefault="00DA01C6" w:rsidP="000E342A">
      <w:pPr>
        <w:spacing w:line="276" w:lineRule="auto"/>
        <w:jc w:val="both"/>
      </w:pPr>
      <w:r>
        <w:t xml:space="preserve">  The closed loop hypothesized in Part III — behavior transfers microbiome, microbiome modifies neural axes, modified neural axes amplify behavior — now has empirical support at every link except the final one. The transfer is documented. The practice-specificity is documented. The immune activation is documented. The reduction in short-chain fatty acid producing bacteria is documented. The proinflammatory shift is documented. The remaining gap — direct demonstration that these specific microbial shifts reduce GABAergic inhibitory tone and increase sexual compulsivity in the same individuals — is the prediction this paper generates </w:t>
      </w:r>
      <w:r>
        <w:lastRenderedPageBreak/>
        <w:t>and the experiment this paper calls for. The evidence converges on the prediction without yet completing the final link. That link is testable. Its confirmation would close the loop empirically.</w:t>
      </w:r>
    </w:p>
    <w:p w14:paraId="5E6AA57C" w14:textId="77777777" w:rsidR="000E342A" w:rsidRDefault="000E342A" w:rsidP="000E342A">
      <w:pPr>
        <w:pBdr>
          <w:bottom w:val="single" w:sz="4" w:space="1" w:color="auto"/>
        </w:pBdr>
        <w:spacing w:line="276" w:lineRule="auto"/>
        <w:jc w:val="both"/>
      </w:pPr>
    </w:p>
    <w:p w14:paraId="35005305" w14:textId="77777777" w:rsidR="003E3468" w:rsidRPr="005307B5" w:rsidRDefault="00000000" w:rsidP="005307B5">
      <w:pPr>
        <w:spacing w:before="240" w:after="240" w:line="276" w:lineRule="auto"/>
        <w:rPr>
          <w:b/>
          <w:bCs/>
          <w:sz w:val="34"/>
          <w:szCs w:val="34"/>
        </w:rPr>
      </w:pPr>
      <w:r>
        <w:rPr>
          <w:b/>
          <w:bCs/>
          <w:sz w:val="34"/>
          <w:szCs w:val="34"/>
        </w:rPr>
        <w:t>XII. Conclusion</w:t>
      </w:r>
    </w:p>
    <w:p w14:paraId="687DC872" w14:textId="77777777" w:rsidR="003E3468" w:rsidRPr="000E3718" w:rsidRDefault="00000000" w:rsidP="005307B5">
      <w:pPr>
        <w:spacing w:line="276" w:lineRule="auto"/>
        <w:jc w:val="both"/>
      </w:pPr>
      <w:r>
        <w:t>Three regressions. Three primordial antecedents. One structural operation conserved from phagocytosis to the present.</w:t>
      </w:r>
    </w:p>
    <w:p w14:paraId="3C7FB141" w14:textId="77777777" w:rsidR="003E3468" w:rsidRPr="000E3718" w:rsidRDefault="005307B5" w:rsidP="005307B5">
      <w:pPr>
        <w:spacing w:line="276" w:lineRule="auto"/>
        <w:jc w:val="both"/>
      </w:pPr>
      <w:r>
        <w:t xml:space="preserve">  Oral-vaginal contact regresses to the birth event—the founding sensory and microbial experience of extrauterine life. Oral-penile contact regresses to the suckling reflex—the first post-natal feeding operation and its phagocytic ancestry. Anal intercourse regresses to the cloaca—the pre-mammalian undifferentiated opening that 200 million years of evolution separated into distinct systems.</w:t>
      </w:r>
    </w:p>
    <w:p w14:paraId="09BFDD6A" w14:textId="77777777" w:rsidR="003E3468" w:rsidRPr="000E3718" w:rsidRDefault="005307B5" w:rsidP="005307B5">
      <w:pPr>
        <w:spacing w:line="276" w:lineRule="auto"/>
        <w:jc w:val="both"/>
      </w:pPr>
      <w:r>
        <w:t xml:space="preserve">  Each regression reactivates circuits that inhibitory maturation should have extinguished. Each creates a microbial transfer pathway that modifies the recipient’s neural state in the direction of further regression. The primordial loop closes: behavior transfers biology, biology modifies neurology, neurology amplifies behavior.</w:t>
      </w:r>
    </w:p>
    <w:p w14:paraId="209DD3F9" w14:textId="77777777" w:rsidR="003E3468" w:rsidRPr="000E3718" w:rsidRDefault="005307B5" w:rsidP="005307B5">
      <w:pPr>
        <w:spacing w:line="276" w:lineRule="auto"/>
        <w:jc w:val="both"/>
      </w:pPr>
      <w:r>
        <w:t xml:space="preserve">  The paper has not designated these behaviors as sinful, immoral, or unnatural. It has identified them as structural regressions to earlier evolutionary and developmental states, operating through conserved biological mechanisms that create self-reinforcing feedback loops at the microbial-neural interface. The reader who requires moral vocabulary may supply it. The mechanism does not.</w:t>
      </w:r>
    </w:p>
    <w:p w14:paraId="61D9AE3A" w14:textId="77777777" w:rsidR="003E3468" w:rsidRPr="000E3718" w:rsidRDefault="005307B5" w:rsidP="005307B5">
      <w:pPr>
        <w:spacing w:after="200" w:line="276" w:lineRule="auto"/>
        <w:jc w:val="both"/>
      </w:pPr>
      <w:r>
        <w:t xml:space="preserve">  What the mechanism does supply is a prediction: a population in which these regressions are normalized at scale will experience aggregate degradation of the inhibitory systems that Freud identified as the substrate of civilization. This prediction follows from the biology without theological premises. Whether it constitutes a moral crisis or merely a biological one is a question the paper leaves to its reader.</w:t>
      </w:r>
    </w:p>
    <w:p w14:paraId="76FDDECD" w14:textId="77777777" w:rsidR="003E3468" w:rsidRPr="000E3718" w:rsidRDefault="00000000" w:rsidP="000E3718">
      <w:pPr>
        <w:spacing w:after="160" w:line="276" w:lineRule="auto"/>
        <w:ind w:left="720" w:right="720"/>
      </w:pPr>
      <w:r>
        <w:rPr>
          <w:i/>
          <w:iCs/>
        </w:rPr>
        <w:t>"The extinction of these initial sexual zones would have a counterpart in the atrophy of certain internal organs in the course of development."</w:t>
      </w:r>
    </w:p>
    <w:p w14:paraId="045968B8" w14:textId="77777777" w:rsidR="003E3468" w:rsidRPr="000E3718" w:rsidRDefault="00000000" w:rsidP="005307B5">
      <w:pPr>
        <w:spacing w:after="160" w:line="276" w:lineRule="auto"/>
        <w:ind w:left="720" w:right="720"/>
      </w:pPr>
      <w:r>
        <w:rPr>
          <w:i/>
          <w:iCs/>
        </w:rPr>
        <w:t>— Sigmund Freud</w:t>
      </w:r>
    </w:p>
    <w:p w14:paraId="75131343" w14:textId="77777777" w:rsidR="003E3468" w:rsidRPr="005307B5" w:rsidRDefault="00000000" w:rsidP="000E3718">
      <w:pPr>
        <w:spacing w:after="160" w:line="276" w:lineRule="auto"/>
        <w:ind w:left="720" w:right="720"/>
        <w:rPr>
          <w:i/>
          <w:iCs/>
        </w:rPr>
      </w:pPr>
      <w:r>
        <w:rPr>
          <w:i/>
          <w:iCs/>
        </w:rPr>
        <w:lastRenderedPageBreak/>
        <w:t>The organs have not atrophied. They have been reactivated. The counterpart is the regression of the civilization that their extinction made possible.</w:t>
      </w:r>
    </w:p>
    <w:p w14:paraId="77D6E8EC" w14:textId="77777777" w:rsidR="003E3468" w:rsidRPr="000E3718" w:rsidRDefault="003E3468" w:rsidP="005307B5">
      <w:pPr>
        <w:pBdr>
          <w:bottom w:val="single" w:sz="4" w:space="1" w:color="auto"/>
        </w:pBdr>
        <w:spacing w:line="276" w:lineRule="auto"/>
      </w:pPr>
    </w:p>
    <w:p w14:paraId="0AB2A20B" w14:textId="77777777" w:rsidR="003E3468" w:rsidRPr="000F0C52" w:rsidRDefault="00000000" w:rsidP="005307B5">
      <w:pPr>
        <w:spacing w:before="240" w:after="240" w:line="276" w:lineRule="auto"/>
        <w:rPr>
          <w:b/>
          <w:bCs/>
        </w:rPr>
      </w:pPr>
      <w:r>
        <w:rPr>
          <w:b/>
          <w:bCs/>
        </w:rPr>
        <w:t>References</w:t>
      </w:r>
    </w:p>
    <w:p w14:paraId="01FF40AA" w14:textId="77777777" w:rsidR="003E3468" w:rsidRPr="000E3718" w:rsidRDefault="00000000" w:rsidP="000E3718">
      <w:pPr>
        <w:spacing w:after="200" w:line="276" w:lineRule="auto"/>
        <w:jc w:val="both"/>
      </w:pPr>
      <w:r>
        <w:t>Barrett, E., Ross, R. P., O’Toole, P. W., Fitzgerald, G. F., &amp; Stanton, C. (2012). γ-Aminobutyric acid production by culturable bacteria from the human intestine. Journal of Applied Microbiology, 113(2), 411–417.</w:t>
      </w:r>
    </w:p>
    <w:p w14:paraId="1B2C3D4E" w14:textId="77777777" w:rsidR="003E3468" w:rsidRPr="000E3718" w:rsidRDefault="00000000" w:rsidP="000E3718">
      <w:pPr>
        <w:spacing w:after="200" w:line="276" w:lineRule="auto"/>
        <w:jc w:val="both"/>
      </w:pPr>
      <w:r>
        <w:t>Bercik, P., Denou, E., Collins, J., et al. (2011). The intestinal microbiota affect central levels of brain-derived neurotrophic factor and behavior in mice. Gastroenterology, 141(2), 599–609.</w:t>
      </w:r>
    </w:p>
    <w:p w14:paraId="386063DE" w14:textId="77777777" w:rsidR="003E3468" w:rsidRPr="000E3718" w:rsidRDefault="00000000" w:rsidP="000E3718">
      <w:pPr>
        <w:spacing w:after="200" w:line="276" w:lineRule="auto"/>
        <w:jc w:val="both"/>
      </w:pPr>
      <w:proofErr w:type="spellStart"/>
      <w:r>
        <w:t>Braniste</w:t>
      </w:r>
      <w:proofErr w:type="spellEnd"/>
      <w:r>
        <w:t>, V., Al-Asmakh, M., Kowal, C., et al. (2014). The gut microbiota influences blood-brain barrier permeability in mice. Science Translational Medicine, 6(263), 263ra158.</w:t>
      </w:r>
    </w:p>
    <w:p w14:paraId="2C3D4E5F" w14:textId="77777777" w:rsidR="003E3468" w:rsidRPr="000E3718" w:rsidRDefault="00000000" w:rsidP="000E3718">
      <w:pPr>
        <w:spacing w:after="200" w:line="276" w:lineRule="auto"/>
        <w:jc w:val="both"/>
      </w:pPr>
      <w:r>
        <w:t xml:space="preserve">Bravo, J. A., Forsythe, P., Chew, M. V., et al. (2011). Ingestion of Lactobacillus strain regulates emotional behavior and central GABA receptor expression in a mouse via the </w:t>
      </w:r>
      <w:proofErr w:type="spellStart"/>
      <w:r>
        <w:t>vagus</w:t>
      </w:r>
      <w:proofErr w:type="spellEnd"/>
      <w:r>
        <w:t xml:space="preserve"> nerve. Proceedings of the National Academy of Sciences, 108(38), 16050–16055.</w:t>
      </w:r>
    </w:p>
    <w:p w14:paraId="64E418A3" w14:textId="77777777" w:rsidR="003E3468" w:rsidRPr="000E3718" w:rsidRDefault="00000000" w:rsidP="000E3718">
      <w:pPr>
        <w:spacing w:after="200" w:line="276" w:lineRule="auto"/>
        <w:jc w:val="both"/>
      </w:pPr>
      <w:r>
        <w:t xml:space="preserve">Breit, S., Kupferberg, A., Rogler, G., &amp; Hasler, G. (2018). </w:t>
      </w:r>
      <w:proofErr w:type="spellStart"/>
      <w:r>
        <w:t>Vagus</w:t>
      </w:r>
      <w:proofErr w:type="spellEnd"/>
      <w:r>
        <w:t xml:space="preserve"> nerve as modulator of the brain-gut axis in psychiatric and inflammatory disorders. Frontiers in Psychiatry, 9, 44.</w:t>
      </w:r>
    </w:p>
    <w:p w14:paraId="3D4E5F6A" w14:textId="77777777" w:rsidR="003E3468" w:rsidRPr="000E3718" w:rsidRDefault="00000000" w:rsidP="000E3718">
      <w:pPr>
        <w:spacing w:after="200" w:line="276" w:lineRule="auto"/>
        <w:jc w:val="both"/>
      </w:pPr>
      <w:r>
        <w:t xml:space="preserve">Calvo-Urbano, B., Kaushik, M., Cheng, A.-C., et al. (2025). The role of parasite-produced dopamine in Toxoplasma gondii-altered host </w:t>
      </w:r>
      <w:proofErr w:type="spellStart"/>
      <w:r>
        <w:t>behaviour</w:t>
      </w:r>
      <w:proofErr w:type="spellEnd"/>
      <w:r>
        <w:t>. Nature Communications, 16(1), 10906.</w:t>
      </w:r>
    </w:p>
    <w:p w14:paraId="1D91FFA8" w14:textId="77777777" w:rsidR="003E3468" w:rsidRPr="000E3718" w:rsidRDefault="00000000" w:rsidP="000E3718">
      <w:pPr>
        <w:spacing w:after="200" w:line="276" w:lineRule="auto"/>
        <w:jc w:val="both"/>
      </w:pPr>
      <w:r>
        <w:t xml:space="preserve">Cryan, J. F., &amp; Dinan, T. G. (2012). Mind-altering microorganisms: the impact of the gut microbiota on brain and </w:t>
      </w:r>
      <w:proofErr w:type="spellStart"/>
      <w:r>
        <w:t>behaviour</w:t>
      </w:r>
      <w:proofErr w:type="spellEnd"/>
      <w:r>
        <w:t>. Nature Reviews Neuroscience, 13(10), 701–712.</w:t>
      </w:r>
    </w:p>
    <w:p w14:paraId="05098CBA" w14:textId="77777777" w:rsidR="003E3468" w:rsidRPr="000E3718" w:rsidRDefault="00000000" w:rsidP="000E3718">
      <w:pPr>
        <w:spacing w:after="200" w:line="276" w:lineRule="auto"/>
        <w:jc w:val="both"/>
      </w:pPr>
      <w:r>
        <w:t xml:space="preserve">Dominguez-Bello, M. G., Costello, E. K., Contreras, M., et al. (2010). Delivery mode shapes the acquisition and structure of the initial microbiota across multiple </w:t>
      </w:r>
      <w:r>
        <w:lastRenderedPageBreak/>
        <w:t>body habitats in newborns. Proceedings of the National Academy of Sciences, 107(26), 11971–11975.</w:t>
      </w:r>
    </w:p>
    <w:p w14:paraId="4E5F6A7B" w14:textId="77777777" w:rsidR="003E3468" w:rsidRPr="000E3718" w:rsidRDefault="00000000" w:rsidP="000E3718">
      <w:pPr>
        <w:spacing w:after="200" w:line="276" w:lineRule="auto"/>
        <w:jc w:val="both"/>
      </w:pPr>
      <w:r>
        <w:t>De Palma, G., Lynch, M. D. J., Lu, J., et al. (2017). Transplantation of fecal microbiota from patients with irritable bowel syndrome alters gut function and behavior in recipient mice. Science Translational Medicine, 9(379), eaaf6397.</w:t>
      </w:r>
    </w:p>
    <w:p w14:paraId="5A6873FD" w14:textId="77777777" w:rsidR="003E3468" w:rsidRPr="000E3718" w:rsidRDefault="00000000" w:rsidP="000E3718">
      <w:pPr>
        <w:spacing w:after="200" w:line="276" w:lineRule="auto"/>
        <w:jc w:val="both"/>
      </w:pPr>
      <w:r>
        <w:t>Freud, S. (1895). Project for a Scientific Psychology. In The Standard Edition of the Complete Psychological Works of Sigmund Freud, Volume I. Hogarth Press.</w:t>
      </w:r>
    </w:p>
    <w:p w14:paraId="7436A87E" w14:textId="77777777" w:rsidR="003E3468" w:rsidRPr="000E3718" w:rsidRDefault="00000000" w:rsidP="000E3718">
      <w:pPr>
        <w:spacing w:after="200" w:line="276" w:lineRule="auto"/>
        <w:jc w:val="both"/>
      </w:pPr>
      <w:r>
        <w:t>Freud, S. (1905). Three Essays on the Theory of Sexuality. In The Standard Edition of the Complete Psychological Works of Sigmund Freud, Volume VII. Hogarth Press.</w:t>
      </w:r>
    </w:p>
    <w:p w14:paraId="6FEAE614" w14:textId="77777777" w:rsidR="003E3468" w:rsidRPr="000E3718" w:rsidRDefault="00000000" w:rsidP="000E3718">
      <w:pPr>
        <w:spacing w:after="200" w:line="276" w:lineRule="auto"/>
        <w:jc w:val="both"/>
      </w:pPr>
      <w:r>
        <w:t>Freud, S. (1910). Leonardo da Vinci and a Memory of His Childhood. In The Standard Edition of the Complete Psychological Works of Sigmund Freud, Volume XI. Hogarth Press.</w:t>
      </w:r>
    </w:p>
    <w:p w14:paraId="5F6A7B8C" w14:textId="77777777" w:rsidR="003E3468" w:rsidRPr="000E3718" w:rsidRDefault="00000000" w:rsidP="000E3718">
      <w:pPr>
        <w:spacing w:after="200" w:line="276" w:lineRule="auto"/>
        <w:jc w:val="both"/>
      </w:pPr>
      <w:r>
        <w:t>Ferretti, P., Pasolli, E., Tett, A., et al. (2018). Mother-to-infant microbial transmission from different body sites shapes the developing infant gut microbiome. Cell Host &amp; Microbe, 24(1), 133–145.</w:t>
      </w:r>
    </w:p>
    <w:p w14:paraId="2189744B" w14:textId="77777777" w:rsidR="003E3468" w:rsidRPr="000E3718" w:rsidRDefault="00000000" w:rsidP="000E3718">
      <w:pPr>
        <w:spacing w:after="200" w:line="276" w:lineRule="auto"/>
        <w:jc w:val="both"/>
      </w:pPr>
      <w:r>
        <w:t>Robertson, S. A., &amp; Sharkey, D. J. (2016). Seminal fluid and fertility in women. Fertility and Sterility, 106(3), 511–519.</w:t>
      </w:r>
    </w:p>
    <w:p w14:paraId="313F31CC" w14:textId="77777777" w:rsidR="003E3468" w:rsidRPr="000E3718" w:rsidRDefault="00000000" w:rsidP="005307B5">
      <w:pPr>
        <w:spacing w:after="200" w:line="276" w:lineRule="auto"/>
        <w:jc w:val="both"/>
      </w:pPr>
      <w:proofErr w:type="spellStart"/>
      <w:r>
        <w:t>Strandwitz</w:t>
      </w:r>
      <w:proofErr w:type="spellEnd"/>
      <w:r>
        <w:t>, P., Kim, K. H., Terekhova, D., et al. (2019). GABA-modulating bacteria of the human gut microbiota. Nature Microbiology, 4(3), 396–403.</w:t>
      </w:r>
    </w:p>
    <w:p w14:paraId="60661CB3" w14:textId="77777777" w:rsidR="003E3468" w:rsidRPr="000E3718" w:rsidRDefault="00000000" w:rsidP="000E3718">
      <w:pPr>
        <w:spacing w:after="200" w:line="276" w:lineRule="auto"/>
        <w:jc w:val="both"/>
      </w:pPr>
      <w:r>
        <w:t>Kühn, S., &amp; Gallinat, J. (2014). Brain structure and functional connectivity associated with pornography consumption: the brain on porn. JAMA Psychiatry, 71(7), 827–834.</w:t>
      </w:r>
    </w:p>
    <w:p w14:paraId="4867E4B4" w14:textId="77777777" w:rsidR="003E3468" w:rsidRPr="000E3718" w:rsidRDefault="00000000" w:rsidP="000E3718">
      <w:pPr>
        <w:spacing w:after="200" w:line="276" w:lineRule="auto"/>
        <w:jc w:val="both"/>
      </w:pPr>
      <w:r>
        <w:t>Attwell, D., &amp; Laughlin, S. B. (2001). An energy budget for signaling in the grey matter of the brain. Journal of Cerebral Blood Flow &amp; Metabolism, 21(10), 1133–1145.</w:t>
      </w:r>
    </w:p>
    <w:p w14:paraId="54BDB9E3" w14:textId="77777777" w:rsidR="003E3468" w:rsidRPr="000E3718" w:rsidRDefault="00000000" w:rsidP="000E3718">
      <w:pPr>
        <w:spacing w:after="200" w:line="276" w:lineRule="auto"/>
        <w:jc w:val="both"/>
      </w:pPr>
      <w:r>
        <w:t>Goldstein, R. Z., &amp; Volkow, N. D. (2011). Dysfunction of the prefrontal cortex in addiction: neuroimaging findings and clinical implications. Nature Reviews Neuroscience, 12(11), 652–669.</w:t>
      </w:r>
    </w:p>
    <w:p w14:paraId="0D9113E8" w14:textId="77777777" w:rsidR="003E3468" w:rsidRPr="000E3718" w:rsidRDefault="00000000" w:rsidP="000E3718">
      <w:pPr>
        <w:spacing w:after="200" w:line="276" w:lineRule="auto"/>
        <w:jc w:val="both"/>
      </w:pPr>
      <w:r>
        <w:lastRenderedPageBreak/>
        <w:t xml:space="preserve">Volkow, N. D., Koob, G. F., &amp; McLellan, A. T. (2016). </w:t>
      </w:r>
      <w:proofErr w:type="spellStart"/>
      <w:r>
        <w:t>Neurobiologic</w:t>
      </w:r>
      <w:proofErr w:type="spellEnd"/>
      <w:r>
        <w:t xml:space="preserve"> advances from the brain disease model of addiction. New England Journal of Medicine, 374(4), 363–371.</w:t>
      </w:r>
    </w:p>
    <w:p w14:paraId="11B567FA" w14:textId="77777777" w:rsidR="005307B5" w:rsidRPr="000E3718" w:rsidRDefault="00000000" w:rsidP="005307B5">
      <w:pPr>
        <w:spacing w:after="200" w:line="276" w:lineRule="auto"/>
        <w:jc w:val="both"/>
      </w:pPr>
      <w:r>
        <w:t>Arain, M., Haque, M., Johal, L., et al. (2013). Maturation of the adolescent brain. Neuropsychiatric Disease and Treatment, 9, 449–461.</w:t>
      </w:r>
    </w:p>
    <w:p w14:paraId="77629A3D" w14:textId="77777777" w:rsidR="006A190C" w:rsidRDefault="00000000">
      <w:pPr>
        <w:spacing w:before="240" w:after="240" w:line="276" w:lineRule="auto"/>
        <w:jc w:val="both"/>
      </w:pPr>
      <w:r>
        <w:t xml:space="preserve">Armstrong, A. J. S., Shaber, M., Hager, C. L., et al. (2018). An exploration of </w:t>
      </w:r>
      <w:proofErr w:type="spellStart"/>
      <w:r>
        <w:t>Prevotella</w:t>
      </w:r>
      <w:proofErr w:type="spellEnd"/>
      <w:r>
        <w:t>-rich microbiomes in HIV and men who have sex with men. Microbiome, 6, 198.</w:t>
      </w:r>
    </w:p>
    <w:p w14:paraId="1CC40DC0" w14:textId="77777777" w:rsidR="006A190C" w:rsidRDefault="00000000">
      <w:pPr>
        <w:spacing w:before="240" w:after="240" w:line="276" w:lineRule="auto"/>
        <w:jc w:val="both"/>
      </w:pPr>
      <w:r>
        <w:t>Coleman, S. L., Neff, C. P., Li, S. X., et al. (2020). Can gut microbiota of men who have sex with men influence HIV transmission? Gut Microbes, 11(3), 610–619.</w:t>
      </w:r>
    </w:p>
    <w:p w14:paraId="28502E55" w14:textId="77777777" w:rsidR="006A190C" w:rsidRDefault="00000000">
      <w:pPr>
        <w:spacing w:before="240" w:after="240" w:line="276" w:lineRule="auto"/>
        <w:jc w:val="both"/>
      </w:pPr>
      <w:r>
        <w:t>Huang, K. D., Amend, L., Gálvez, E. J. C., et al. (2024). Establishment of a non-Westernized gut microbiota in men who have sex with men is associated with sexual practices. Cell Reports Medicine, 5(3), 101426.</w:t>
      </w:r>
    </w:p>
    <w:p w14:paraId="6A7B8C9D" w14:textId="77777777" w:rsidR="006A190C" w:rsidRDefault="00000000">
      <w:pPr>
        <w:spacing w:before="240" w:after="240" w:line="276" w:lineRule="auto"/>
        <w:jc w:val="both"/>
      </w:pPr>
      <w:r>
        <w:t xml:space="preserve">House, P. K., Vyas, A., &amp; Sapolsky, R. (2011). Predator cat odors activate sexual arousal pathways in brains of Toxoplasma gondii infected rats. </w:t>
      </w:r>
      <w:proofErr w:type="spellStart"/>
      <w:r>
        <w:t>PLoS</w:t>
      </w:r>
      <w:proofErr w:type="spellEnd"/>
      <w:r>
        <w:t xml:space="preserve"> ONE, 6(8), e23277.</w:t>
      </w:r>
    </w:p>
    <w:p w14:paraId="270E3378" w14:textId="77777777" w:rsidR="006A190C" w:rsidRDefault="00000000">
      <w:pPr>
        <w:spacing w:before="240" w:after="240" w:line="276" w:lineRule="auto"/>
        <w:jc w:val="both"/>
      </w:pPr>
      <w:r>
        <w:t xml:space="preserve">Kujala, J., </w:t>
      </w:r>
      <w:proofErr w:type="spellStart"/>
      <w:r>
        <w:t>Ciumas</w:t>
      </w:r>
      <w:proofErr w:type="spellEnd"/>
      <w:r>
        <w:t>, C., Jung, J., et al. (2024). GABAergic inhibition shapes behavior and neural dynamics in human visual working memory. Cerebral Cortex, 34(2), bhad522.</w:t>
      </w:r>
    </w:p>
    <w:p w14:paraId="66D94C19" w14:textId="77777777" w:rsidR="006A190C" w:rsidRDefault="00000000">
      <w:pPr>
        <w:spacing w:before="240" w:after="240" w:line="276" w:lineRule="auto"/>
        <w:jc w:val="both"/>
      </w:pPr>
      <w:r>
        <w:t xml:space="preserve">Lin, H., Chen, Y., Abror-Lacks, G., Price, M., Morris, A., Sun, J., Palella, F., Chew, K. W., Brown, T. T., Rinaldo, C. R., &amp; </w:t>
      </w:r>
      <w:proofErr w:type="spellStart"/>
      <w:r>
        <w:t>Peddada</w:t>
      </w:r>
      <w:proofErr w:type="spellEnd"/>
      <w:r>
        <w:t>, S. D. (2024). Sexual behavior is linked to changes in gut microbiome and systemic inflammation that lead to HIV-1 infection in men who have sex with men. Communications Biology, 7(1), 1145.</w:t>
      </w:r>
    </w:p>
    <w:p w14:paraId="39F3E5E1" w14:textId="77777777" w:rsidR="006A190C" w:rsidRDefault="00000000">
      <w:pPr>
        <w:spacing w:before="240" w:after="240" w:line="276" w:lineRule="auto"/>
        <w:jc w:val="both"/>
      </w:pPr>
      <w:r>
        <w:t>Miller, D. J., Duka, T., Stimpson, C. D., et al. (2012). Prolonged myelination in human neocortical evolution. Proceedings of the National Academy of Sciences, 109(41), 16480–16485.</w:t>
      </w:r>
    </w:p>
    <w:p w14:paraId="39493C31" w14:textId="77777777" w:rsidR="006A190C" w:rsidRDefault="00000000">
      <w:pPr>
        <w:spacing w:before="240" w:after="240" w:line="276" w:lineRule="auto"/>
        <w:jc w:val="both"/>
      </w:pPr>
      <w:proofErr w:type="spellStart"/>
      <w:r>
        <w:t>Nawreen</w:t>
      </w:r>
      <w:proofErr w:type="spellEnd"/>
      <w:r>
        <w:t>, N., Oshima, K., Chambers, J., et al. (2024). Inhibition of prefrontal cortex parvalbumin interneurons mitigates behavioral and physiological sequelae of chronic stress in male mice. Stress, 27(1), 2361238.</w:t>
      </w:r>
    </w:p>
    <w:p w14:paraId="7B8C9DAE" w14:textId="77777777" w:rsidR="006A190C" w:rsidRDefault="00000000">
      <w:pPr>
        <w:spacing w:before="240" w:after="240" w:line="276" w:lineRule="auto"/>
        <w:jc w:val="both"/>
      </w:pPr>
      <w:r>
        <w:lastRenderedPageBreak/>
        <w:t>Vyas, A., Kim, S.-K., Giacomini, N., Boothroyd, J. C., &amp; Sapolsky, R. M. (2007). Behavioral changes induced by Toxoplasma infection of rodents are highly specific to aversion of cat odors. Proceedings of the National Academy of Sciences, 104(15), 6442–6447.</w:t>
      </w:r>
    </w:p>
    <w:p w14:paraId="0C9DAEBF" w14:textId="77777777" w:rsidR="006A190C" w:rsidRDefault="00000000">
      <w:pPr>
        <w:spacing w:before="240" w:after="240" w:line="276" w:lineRule="auto"/>
        <w:jc w:val="both"/>
      </w:pPr>
      <w:r>
        <w:t>Yano, J. M., Yu, K., Donaldson, G. P., et al. (2015). Indigenous bacteria from the gut microbiota regulate host serotonin biosynthesis. Cell, 161(2), 264–276.</w:t>
      </w:r>
    </w:p>
    <w:p w14:paraId="4996E6DD" w14:textId="47EBFD72" w:rsidR="006A190C" w:rsidRDefault="00000000">
      <w:pPr>
        <w:spacing w:before="240" w:after="240" w:line="276" w:lineRule="auto"/>
        <w:jc w:val="both"/>
      </w:pPr>
      <w:r>
        <w:t>Cross-references: Sprenger, D. Innocence Lost: A Freudian Essay on Childhood Sexual Abuse, Sociosexual Morality, &amp; Epilepsy. Internet Archive, OSF.</w:t>
      </w:r>
    </w:p>
    <w:p w14:paraId="3D237591" w14:textId="3E426F45" w:rsidR="00512064" w:rsidRDefault="00000000" w:rsidP="005307B5">
      <w:pPr>
        <w:spacing w:after="120" w:line="276" w:lineRule="auto"/>
      </w:pPr>
      <w:r>
        <w:t>Conceptual discovery by Dustin Sprenger x Sigmund Freud, formulation by Anthropic Claude</w:t>
      </w:r>
      <w:r w:rsidR="000E342A">
        <w:t xml:space="preserve"> x OpenAI GPT</w:t>
      </w:r>
      <w:r>
        <w:t>. Cover image by OpenAI GPT.</w:t>
      </w:r>
    </w:p>
    <w:p w14:paraId="146207E1" w14:textId="77777777" w:rsidR="00B10108" w:rsidRDefault="00B10108" w:rsidP="005307B5">
      <w:pPr>
        <w:spacing w:after="120" w:line="276" w:lineRule="auto"/>
      </w:pPr>
    </w:p>
    <w:p w14:paraId="1B404EAC" w14:textId="77777777" w:rsidR="00A42B33" w:rsidRDefault="00A42B33" w:rsidP="005307B5">
      <w:pPr>
        <w:spacing w:after="120" w:line="276" w:lineRule="auto"/>
      </w:pPr>
    </w:p>
    <w:p w14:paraId="405A2BDA" w14:textId="77777777" w:rsidR="00A42B33" w:rsidRDefault="00A42B33" w:rsidP="005307B5">
      <w:pPr>
        <w:spacing w:after="120" w:line="276" w:lineRule="auto"/>
      </w:pPr>
    </w:p>
    <w:p w14:paraId="68B26C85" w14:textId="77777777" w:rsidR="00A42B33" w:rsidRDefault="00A42B33" w:rsidP="005307B5">
      <w:pPr>
        <w:spacing w:after="120" w:line="276" w:lineRule="auto"/>
      </w:pPr>
    </w:p>
    <w:p w14:paraId="5708127C" w14:textId="77777777" w:rsidR="00A42B33" w:rsidRDefault="00A42B33" w:rsidP="005307B5">
      <w:pPr>
        <w:spacing w:after="120" w:line="276" w:lineRule="auto"/>
      </w:pPr>
    </w:p>
    <w:p w14:paraId="5A1D7C29" w14:textId="77777777" w:rsidR="00A42B33" w:rsidRDefault="00A42B33" w:rsidP="005307B5">
      <w:pPr>
        <w:spacing w:after="120" w:line="276" w:lineRule="auto"/>
      </w:pPr>
    </w:p>
    <w:p w14:paraId="4CCBDC17" w14:textId="77777777" w:rsidR="00A42B33" w:rsidRDefault="00A42B33" w:rsidP="005307B5">
      <w:pPr>
        <w:spacing w:after="120" w:line="276" w:lineRule="auto"/>
      </w:pPr>
    </w:p>
    <w:p w14:paraId="4B6AB75B" w14:textId="77777777" w:rsidR="00A42B33" w:rsidRDefault="00A42B33" w:rsidP="005307B5">
      <w:pPr>
        <w:spacing w:after="120" w:line="276" w:lineRule="auto"/>
      </w:pPr>
    </w:p>
    <w:p w14:paraId="5E1C5685" w14:textId="77777777" w:rsidR="00A42B33" w:rsidRDefault="00A42B33" w:rsidP="005307B5">
      <w:pPr>
        <w:spacing w:after="120" w:line="276" w:lineRule="auto"/>
      </w:pPr>
    </w:p>
    <w:p w14:paraId="5361A585" w14:textId="77777777" w:rsidR="00584A4D" w:rsidRDefault="00584A4D" w:rsidP="005307B5">
      <w:pPr>
        <w:spacing w:after="120" w:line="276" w:lineRule="auto"/>
      </w:pPr>
    </w:p>
    <w:p w14:paraId="5EDFE580" w14:textId="77777777" w:rsidR="00A42B33" w:rsidRDefault="00A42B33" w:rsidP="005307B5">
      <w:pPr>
        <w:spacing w:after="120" w:line="276" w:lineRule="auto"/>
      </w:pPr>
    </w:p>
    <w:p w14:paraId="44BF5D88" w14:textId="77777777" w:rsidR="00584A4D" w:rsidRDefault="00584A4D" w:rsidP="005307B5">
      <w:pPr>
        <w:spacing w:after="120" w:line="276" w:lineRule="auto"/>
      </w:pPr>
    </w:p>
    <w:p w14:paraId="08FD6463" w14:textId="59223035" w:rsidR="00584A4D" w:rsidRDefault="00584A4D" w:rsidP="005307B5">
      <w:pPr>
        <w:spacing w:after="120" w:line="276" w:lineRule="auto"/>
      </w:pPr>
      <w:r>
        <w:t xml:space="preserve">                               </w:t>
      </w:r>
      <w:r>
        <w:object w:dxaOrig="4846" w:dyaOrig="811" w14:anchorId="7C7A08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2.25pt;height:40.5pt" o:ole="">
            <v:imagedata r:id="rId6" o:title=""/>
          </v:shape>
          <o:OLEObject Type="Embed" ProgID="Package" ShapeID="_x0000_i1025" DrawAspect="Content" ObjectID="_1837084290" r:id="rId7"/>
        </w:object>
      </w:r>
    </w:p>
    <w:p w14:paraId="71E379B5" w14:textId="6DEC4A41" w:rsidR="00584A4D" w:rsidRPr="00584A4D" w:rsidRDefault="00584A4D" w:rsidP="00584A4D">
      <w:pPr>
        <w:jc w:val="center"/>
        <w:rPr>
          <w:rFonts w:eastAsia="Aptos"/>
          <w:kern w:val="2"/>
          <w:sz w:val="20"/>
          <w:szCs w:val="20"/>
          <w14:ligatures w14:val="standardContextual"/>
        </w:rPr>
      </w:pPr>
      <w:r w:rsidRPr="00584A4D">
        <w:rPr>
          <w:rFonts w:eastAsia="Aptos"/>
          <w:kern w:val="2"/>
          <w:sz w:val="20"/>
          <w:szCs w:val="20"/>
          <w14:ligatures w14:val="standardContextual"/>
        </w:rPr>
        <w:t>Entropy Breakpoint Hash – The Primordial Loop v2</w:t>
      </w:r>
    </w:p>
    <w:p w14:paraId="3EC0F915" w14:textId="77777777" w:rsidR="00584A4D" w:rsidRPr="00584A4D" w:rsidRDefault="00584A4D" w:rsidP="00584A4D">
      <w:pPr>
        <w:spacing w:line="276" w:lineRule="auto"/>
        <w:jc w:val="center"/>
        <w:rPr>
          <w:rFonts w:eastAsia="Aptos"/>
          <w:kern w:val="2"/>
          <w:sz w:val="20"/>
          <w:szCs w:val="20"/>
          <w14:ligatures w14:val="standardContextual"/>
        </w:rPr>
      </w:pPr>
      <w:r w:rsidRPr="00584A4D">
        <w:rPr>
          <w:rFonts w:eastAsia="Aptos"/>
          <w:kern w:val="2"/>
          <w:sz w:val="20"/>
          <w:szCs w:val="20"/>
          <w14:ligatures w14:val="standardContextual"/>
        </w:rPr>
        <w:t>(SHA-256 verified text. Reference UTF-8 source file embedded for cryptographic validation)</w:t>
      </w:r>
    </w:p>
    <w:p w14:paraId="51FDDF28" w14:textId="1CE9A2E4" w:rsidR="004B3CBD" w:rsidRPr="004B3CBD" w:rsidRDefault="00584A4D" w:rsidP="00584A4D">
      <w:pPr>
        <w:spacing w:line="276" w:lineRule="auto"/>
        <w:jc w:val="center"/>
        <w:rPr>
          <w:rFonts w:eastAsia="Aptos"/>
          <w:kern w:val="2"/>
          <w:sz w:val="20"/>
          <w:szCs w:val="20"/>
          <w14:ligatures w14:val="standardContextual"/>
        </w:rPr>
      </w:pPr>
      <w:r w:rsidRPr="00584A4D">
        <w:rPr>
          <w:rFonts w:eastAsia="Aptos"/>
          <w:kern w:val="2"/>
          <w:sz w:val="20"/>
          <w:szCs w:val="20"/>
          <w14:ligatures w14:val="standardContextual"/>
        </w:rPr>
        <w:t>932FB2F9 99FFFE70 C558EE46 32A6FD43 6D730226 5F37F1CE 9B0B0117 79F38E7C</w:t>
      </w:r>
    </w:p>
    <w:p w14:paraId="0FD5122A" w14:textId="77777777" w:rsidR="008A0FC5" w:rsidRDefault="008A0FC5" w:rsidP="004B3CBD">
      <w:pPr>
        <w:spacing w:line="276" w:lineRule="auto"/>
        <w:rPr>
          <w:rFonts w:eastAsia="Aptos"/>
          <w:kern w:val="2"/>
          <w:sz w:val="20"/>
          <w:szCs w:val="20"/>
          <w14:ligatures w14:val="standardContextual"/>
        </w:rPr>
      </w:pPr>
    </w:p>
    <w:p w14:paraId="7C269D69" w14:textId="77777777" w:rsidR="005307B5" w:rsidRPr="000E3718" w:rsidRDefault="005307B5" w:rsidP="00512064">
      <w:pPr>
        <w:pBdr>
          <w:bottom w:val="single" w:sz="4" w:space="1" w:color="auto"/>
        </w:pBdr>
        <w:spacing w:after="120" w:line="276" w:lineRule="auto"/>
      </w:pPr>
    </w:p>
    <w:sectPr w:rsidR="005307B5" w:rsidRPr="000E3718">
      <w:pgSz w:w="12240" w:h="15840"/>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F9518C"/>
    <w:multiLevelType w:val="hybridMultilevel"/>
    <w:tmpl w:val="78083750"/>
    <w:lvl w:ilvl="0" w:tplc="7346AD86">
      <w:start w:val="1"/>
      <w:numFmt w:val="bullet"/>
      <w:lvlText w:val="●"/>
      <w:lvlJc w:val="left"/>
      <w:pPr>
        <w:ind w:left="720" w:hanging="360"/>
      </w:pPr>
    </w:lvl>
    <w:lvl w:ilvl="1" w:tplc="6B983688">
      <w:start w:val="1"/>
      <w:numFmt w:val="bullet"/>
      <w:lvlText w:val="○"/>
      <w:lvlJc w:val="left"/>
      <w:pPr>
        <w:ind w:left="1440" w:hanging="360"/>
      </w:pPr>
    </w:lvl>
    <w:lvl w:ilvl="2" w:tplc="644406FC">
      <w:start w:val="1"/>
      <w:numFmt w:val="bullet"/>
      <w:lvlText w:val="■"/>
      <w:lvlJc w:val="left"/>
      <w:pPr>
        <w:ind w:left="2160" w:hanging="360"/>
      </w:pPr>
    </w:lvl>
    <w:lvl w:ilvl="3" w:tplc="6FEC37E6">
      <w:start w:val="1"/>
      <w:numFmt w:val="bullet"/>
      <w:lvlText w:val="●"/>
      <w:lvlJc w:val="left"/>
      <w:pPr>
        <w:ind w:left="2880" w:hanging="360"/>
      </w:pPr>
    </w:lvl>
    <w:lvl w:ilvl="4" w:tplc="CD9A0496">
      <w:start w:val="1"/>
      <w:numFmt w:val="bullet"/>
      <w:lvlText w:val="○"/>
      <w:lvlJc w:val="left"/>
      <w:pPr>
        <w:ind w:left="3600" w:hanging="360"/>
      </w:pPr>
    </w:lvl>
    <w:lvl w:ilvl="5" w:tplc="4D60E41C">
      <w:start w:val="1"/>
      <w:numFmt w:val="bullet"/>
      <w:lvlText w:val="■"/>
      <w:lvlJc w:val="left"/>
      <w:pPr>
        <w:ind w:left="4320" w:hanging="360"/>
      </w:pPr>
    </w:lvl>
    <w:lvl w:ilvl="6" w:tplc="AB185328">
      <w:start w:val="1"/>
      <w:numFmt w:val="bullet"/>
      <w:lvlText w:val="●"/>
      <w:lvlJc w:val="left"/>
      <w:pPr>
        <w:ind w:left="5040" w:hanging="360"/>
      </w:pPr>
    </w:lvl>
    <w:lvl w:ilvl="7" w:tplc="9C10BD24">
      <w:start w:val="1"/>
      <w:numFmt w:val="bullet"/>
      <w:lvlText w:val="●"/>
      <w:lvlJc w:val="left"/>
      <w:pPr>
        <w:ind w:left="5760" w:hanging="360"/>
      </w:pPr>
    </w:lvl>
    <w:lvl w:ilvl="8" w:tplc="BC6ACC0C">
      <w:start w:val="1"/>
      <w:numFmt w:val="bullet"/>
      <w:lvlText w:val="●"/>
      <w:lvlJc w:val="left"/>
      <w:pPr>
        <w:ind w:left="6480" w:hanging="360"/>
      </w:pPr>
    </w:lvl>
  </w:abstractNum>
  <w:num w:numId="1" w16cid:durableId="312607056">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468"/>
    <w:rsid w:val="00095E6C"/>
    <w:rsid w:val="000E342A"/>
    <w:rsid w:val="000E3718"/>
    <w:rsid w:val="000E3A29"/>
    <w:rsid w:val="000F0C52"/>
    <w:rsid w:val="001A19BF"/>
    <w:rsid w:val="00291A2C"/>
    <w:rsid w:val="0029652F"/>
    <w:rsid w:val="003E3468"/>
    <w:rsid w:val="003E5FC4"/>
    <w:rsid w:val="004B3CBD"/>
    <w:rsid w:val="00512064"/>
    <w:rsid w:val="005307B5"/>
    <w:rsid w:val="00584A4D"/>
    <w:rsid w:val="006A190C"/>
    <w:rsid w:val="006B6D62"/>
    <w:rsid w:val="007678CE"/>
    <w:rsid w:val="007B54F2"/>
    <w:rsid w:val="008302F0"/>
    <w:rsid w:val="008A0FC5"/>
    <w:rsid w:val="00914818"/>
    <w:rsid w:val="009272EC"/>
    <w:rsid w:val="00933544"/>
    <w:rsid w:val="009E5BA7"/>
    <w:rsid w:val="00A14C7B"/>
    <w:rsid w:val="00A42B33"/>
    <w:rsid w:val="00B10108"/>
    <w:rsid w:val="00B90117"/>
    <w:rsid w:val="00BB5642"/>
    <w:rsid w:val="00CD272E"/>
    <w:rsid w:val="00DA01C6"/>
    <w:rsid w:val="00F47A6B"/>
    <w:rsid w:val="00F82FD3"/>
    <w:rsid w:val="00FA58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579AE"/>
  <w15:docId w15:val="{A2500B65-9953-48B8-ACA0-B3EF6D2B5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400" w:after="200"/>
      <w:outlineLvl w:val="0"/>
    </w:pPr>
    <w:rPr>
      <w:b/>
      <w:bCs/>
      <w:color w:val="404040"/>
      <w:sz w:val="34"/>
      <w:szCs w:val="34"/>
    </w:rPr>
  </w:style>
  <w:style w:type="paragraph" w:styleId="Heading2">
    <w:name w:val="heading 2"/>
    <w:uiPriority w:val="9"/>
    <w:unhideWhenUsed/>
    <w:qFormat/>
    <w:pPr>
      <w:spacing w:before="360" w:after="160"/>
      <w:outlineLvl w:val="1"/>
    </w:pPr>
    <w:rPr>
      <w:b/>
      <w:bCs/>
      <w:color w:val="404040"/>
      <w:sz w:val="34"/>
      <w:szCs w:val="34"/>
    </w:rPr>
  </w:style>
  <w:style w:type="paragraph" w:styleId="Heading3">
    <w:name w:val="heading 3"/>
    <w:uiPriority w:val="9"/>
    <w:unhideWhenUsed/>
    <w:qFormat/>
    <w:pPr>
      <w:spacing w:before="280" w:after="120"/>
      <w:outlineLvl w:val="2"/>
    </w:pPr>
    <w:rPr>
      <w:b/>
      <w:bCs/>
      <w:color w:val="404040"/>
      <w:sz w:val="34"/>
      <w:szCs w:val="3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63</TotalTime>
  <Pages>39</Pages>
  <Words>13124</Words>
  <Characters>74809</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Dustin Sprenger</cp:lastModifiedBy>
  <cp:revision>17</cp:revision>
  <dcterms:created xsi:type="dcterms:W3CDTF">2026-04-03T21:34:00Z</dcterms:created>
  <dcterms:modified xsi:type="dcterms:W3CDTF">2026-04-07T21:25:00Z</dcterms:modified>
</cp:coreProperties>
</file>