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60AFE" w14:textId="5CB6A7E3" w:rsidR="006E1AC0" w:rsidRDefault="006E1AC0">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66539823" wp14:editId="759654D7">
            <wp:simplePos x="0" y="0"/>
            <wp:positionH relativeFrom="margin">
              <wp:posOffset>-2561607</wp:posOffset>
            </wp:positionH>
            <wp:positionV relativeFrom="paragraph">
              <wp:posOffset>-1174750</wp:posOffset>
            </wp:positionV>
            <wp:extent cx="10592789" cy="10592789"/>
            <wp:effectExtent l="0" t="0" r="0" b="0"/>
            <wp:wrapNone/>
            <wp:docPr id="9207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391" name="Picture 1"/>
                    <pic:cNvPicPr/>
                  </pic:nvPicPr>
                  <pic:blipFill>
                    <a:blip r:embed="rId5"/>
                    <a:stretch>
                      <a:fillRect/>
                    </a:stretch>
                  </pic:blipFill>
                  <pic:spPr>
                    <a:xfrm>
                      <a:off x="0" y="0"/>
                      <a:ext cx="10592789" cy="1059278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1F96D1DC" w14:textId="70956E21" w:rsidR="009D0FFA" w:rsidRPr="009D0FFA" w:rsidRDefault="009D0FFA" w:rsidP="009D0FFA">
      <w:pPr>
        <w:rPr>
          <w:rFonts w:ascii="Times New Roman" w:hAnsi="Times New Roman" w:cs="Times New Roman"/>
          <w:b/>
          <w:bCs/>
          <w:i/>
          <w:iCs/>
          <w:sz w:val="40"/>
          <w:szCs w:val="40"/>
        </w:rPr>
      </w:pPr>
      <w:r w:rsidRPr="009D0FFA">
        <w:rPr>
          <w:rFonts w:ascii="Times New Roman" w:hAnsi="Times New Roman" w:cs="Times New Roman"/>
          <w:b/>
          <w:bCs/>
          <w:sz w:val="40"/>
          <w:szCs w:val="40"/>
        </w:rPr>
        <w:lastRenderedPageBreak/>
        <w:t>C.E.R.B.E.R.U.S. - Combat-Emergency Response for Biological Escalation &amp; Resilience Under Stress</w:t>
      </w:r>
      <w:r w:rsidR="00F5091A">
        <w:rPr>
          <w:rFonts w:ascii="Times New Roman" w:hAnsi="Times New Roman" w:cs="Times New Roman"/>
          <w:b/>
          <w:bCs/>
          <w:sz w:val="40"/>
          <w:szCs w:val="40"/>
        </w:rPr>
        <w:t xml:space="preserve"> (v2)</w:t>
      </w:r>
    </w:p>
    <w:p w14:paraId="42E024E5" w14:textId="77777777" w:rsidR="009D0FFA" w:rsidRPr="009D0FFA" w:rsidRDefault="009D0FFA" w:rsidP="009D0FFA">
      <w:pPr>
        <w:rPr>
          <w:rFonts w:ascii="Times New Roman" w:hAnsi="Times New Roman" w:cs="Times New Roman"/>
          <w:b/>
          <w:bCs/>
          <w:sz w:val="28"/>
          <w:szCs w:val="28"/>
        </w:rPr>
      </w:pPr>
    </w:p>
    <w:p w14:paraId="622C49DA"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1. Introduction: From C.H.I.L.D. to CERBERUS — Acute Psychophysiological Injury in Military Operations</w:t>
      </w:r>
    </w:p>
    <w:p w14:paraId="581A294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 </w:t>
      </w:r>
      <w:r w:rsidRPr="009D0FFA">
        <w:rPr>
          <w:rFonts w:ascii="Times New Roman" w:hAnsi="Times New Roman" w:cs="Times New Roman"/>
          <w:b/>
          <w:bCs/>
          <w:sz w:val="28"/>
          <w:szCs w:val="28"/>
        </w:rPr>
        <w:t>C.H.I.L.D. framework</w:t>
      </w:r>
      <w:r w:rsidRPr="009D0FFA">
        <w:rPr>
          <w:rFonts w:ascii="Times New Roman" w:hAnsi="Times New Roman" w:cs="Times New Roman"/>
          <w:sz w:val="28"/>
          <w:szCs w:val="28"/>
        </w:rPr>
        <w:t xml:space="preserve"> was originally formulated as a detection, signaling, and escalation architecture for high-risk human environments, prioritizing </w:t>
      </w:r>
      <w:r w:rsidRPr="009D0FFA">
        <w:rPr>
          <w:rFonts w:ascii="Times New Roman" w:hAnsi="Times New Roman" w:cs="Times New Roman"/>
          <w:b/>
          <w:bCs/>
          <w:sz w:val="28"/>
          <w:szCs w:val="28"/>
        </w:rPr>
        <w:t>decentralized sensing, minimal metadata, and time-critical response</w:t>
      </w:r>
      <w:r w:rsidRPr="009D0FFA">
        <w:rPr>
          <w:rFonts w:ascii="Times New Roman" w:hAnsi="Times New Roman" w:cs="Times New Roman"/>
          <w:sz w:val="28"/>
          <w:szCs w:val="28"/>
        </w:rPr>
        <w:t xml:space="preserve"> over retrospective analysis. At its core, C.H.I.L.D. addresses a fundamental limitation shared by modern safety systems: recognition of harm often occurs </w:t>
      </w:r>
      <w:r w:rsidRPr="009D0FFA">
        <w:rPr>
          <w:rFonts w:ascii="Times New Roman" w:hAnsi="Times New Roman" w:cs="Times New Roman"/>
          <w:b/>
          <w:bCs/>
          <w:sz w:val="28"/>
          <w:szCs w:val="28"/>
        </w:rPr>
        <w:t>after</w:t>
      </w:r>
      <w:r w:rsidRPr="009D0FFA">
        <w:rPr>
          <w:rFonts w:ascii="Times New Roman" w:hAnsi="Times New Roman" w:cs="Times New Roman"/>
          <w:sz w:val="28"/>
          <w:szCs w:val="28"/>
        </w:rPr>
        <w:t xml:space="preserve"> physiological damage has already escalated.</w:t>
      </w:r>
    </w:p>
    <w:p w14:paraId="7EAE770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CERBERUS</w:t>
      </w:r>
      <w:r w:rsidRPr="009D0FFA">
        <w:rPr>
          <w:rFonts w:ascii="Times New Roman" w:hAnsi="Times New Roman" w:cs="Times New Roman"/>
          <w:sz w:val="28"/>
          <w:szCs w:val="28"/>
        </w:rPr>
        <w:t xml:space="preserve"> extends this logic into the </w:t>
      </w:r>
      <w:r w:rsidRPr="009D0FFA">
        <w:rPr>
          <w:rFonts w:ascii="Times New Roman" w:hAnsi="Times New Roman" w:cs="Times New Roman"/>
          <w:b/>
          <w:bCs/>
          <w:sz w:val="28"/>
          <w:szCs w:val="28"/>
        </w:rPr>
        <w:t>biological domain</w:t>
      </w:r>
      <w:r w:rsidRPr="009D0FFA">
        <w:rPr>
          <w:rFonts w:ascii="Times New Roman" w:hAnsi="Times New Roman" w:cs="Times New Roman"/>
          <w:sz w:val="28"/>
          <w:szCs w:val="28"/>
        </w:rPr>
        <w:t xml:space="preserve"> for adult military personnel. Where C.H.I.L.D. identifies and escalates risk states, CERBERUS introduces a tightly constrained, optional biomedical layer intended to </w:t>
      </w:r>
      <w:r w:rsidRPr="009D0FFA">
        <w:rPr>
          <w:rFonts w:ascii="Times New Roman" w:hAnsi="Times New Roman" w:cs="Times New Roman"/>
          <w:b/>
          <w:bCs/>
          <w:sz w:val="28"/>
          <w:szCs w:val="28"/>
        </w:rPr>
        <w:t>buffer acute physiological injury during the earliest moments of escalation</w:t>
      </w:r>
      <w:r w:rsidRPr="009D0FFA">
        <w:rPr>
          <w:rFonts w:ascii="Times New Roman" w:hAnsi="Times New Roman" w:cs="Times New Roman"/>
          <w:sz w:val="28"/>
          <w:szCs w:val="28"/>
        </w:rPr>
        <w:t>, when delayed intervention plausibly worsens outcome severity.</w:t>
      </w:r>
    </w:p>
    <w:p w14:paraId="06188F5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Military personnel operating in combat, disaster response, extreme training, or prolonged vigilance environments are routinely exposed to </w:t>
      </w:r>
      <w:r w:rsidRPr="009D0FFA">
        <w:rPr>
          <w:rFonts w:ascii="Times New Roman" w:hAnsi="Times New Roman" w:cs="Times New Roman"/>
          <w:b/>
          <w:bCs/>
          <w:sz w:val="28"/>
          <w:szCs w:val="28"/>
        </w:rPr>
        <w:t>acute psychophysiological insults</w:t>
      </w:r>
      <w:r w:rsidRPr="009D0FFA">
        <w:rPr>
          <w:rFonts w:ascii="Times New Roman" w:hAnsi="Times New Roman" w:cs="Times New Roman"/>
          <w:sz w:val="28"/>
          <w:szCs w:val="28"/>
        </w:rPr>
        <w:t xml:space="preserve"> that exceed normal adaptive capacity. These insults manifest as rapid hypothalamic–pituitary–adrenal (HPA) axis activation (cortisol surges), sympathetic dominance (elevated LF/HF ratios), parasympathetic withdrawal (RMSSD suppression), and downstream neuroinflammatory, vascular, and metabolic stress cascades.</w:t>
      </w:r>
    </w:p>
    <w:p w14:paraId="77401A7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Unlike chronic stress, these events unfold on </w:t>
      </w:r>
      <w:r w:rsidRPr="009D0FFA">
        <w:rPr>
          <w:rFonts w:ascii="Times New Roman" w:hAnsi="Times New Roman" w:cs="Times New Roman"/>
          <w:b/>
          <w:bCs/>
          <w:sz w:val="28"/>
          <w:szCs w:val="28"/>
        </w:rPr>
        <w:t>seconds-to-minutes timescales</w:t>
      </w:r>
      <w:r w:rsidRPr="009D0FFA">
        <w:rPr>
          <w:rFonts w:ascii="Times New Roman" w:hAnsi="Times New Roman" w:cs="Times New Roman"/>
          <w:sz w:val="28"/>
          <w:szCs w:val="28"/>
        </w:rPr>
        <w:t>. When unbuffered, they are associated with secondary injury amplification, impaired executive function, delayed physiological recovery, and elevated long-term neurological risk following trauma or near-trauma exposure.</w:t>
      </w:r>
    </w:p>
    <w:p w14:paraId="7144AFA8" w14:textId="77777777" w:rsid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Conventional countermeasures—after-action reporting, delayed pharmacological intervention, or sedative anxiolytics—are poorly matched to this temporal domain </w:t>
      </w:r>
      <w:r w:rsidRPr="009D0FFA">
        <w:rPr>
          <w:rFonts w:ascii="Times New Roman" w:hAnsi="Times New Roman" w:cs="Times New Roman"/>
          <w:sz w:val="28"/>
          <w:szCs w:val="28"/>
        </w:rPr>
        <w:lastRenderedPageBreak/>
        <w:t>and often introduce unacceptable cognitive impairment, dependency risk, or mission interference.</w:t>
      </w:r>
    </w:p>
    <w:p w14:paraId="2CE6473D" w14:textId="22B52F53" w:rsidR="00A34646" w:rsidRDefault="00A34646" w:rsidP="009D0FFA">
      <w:pPr>
        <w:rPr>
          <w:rFonts w:ascii="Times New Roman" w:hAnsi="Times New Roman" w:cs="Times New Roman"/>
          <w:sz w:val="28"/>
          <w:szCs w:val="28"/>
        </w:rPr>
      </w:pPr>
      <w:r w:rsidRPr="00A34646">
        <w:rPr>
          <w:rFonts w:ascii="Times New Roman" w:hAnsi="Times New Roman" w:cs="Times New Roman"/>
          <w:sz w:val="28"/>
          <w:szCs w:val="28"/>
        </w:rPr>
        <w:t>In addition to neurophysiological strain, acute combat stress is routinely accompanied by extreme mechanical loading, where secondary musculoskeletal injury emerges through microvascular disruption and inflammatory amplification—domains addressed mechanistically in subsequent sections.</w:t>
      </w:r>
    </w:p>
    <w:p w14:paraId="7313AB40" w14:textId="31448670"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CERBERUS proposes an alternative framing</w:t>
      </w:r>
      <w:r w:rsidRPr="009D0FFA">
        <w:rPr>
          <w:rFonts w:ascii="Times New Roman" w:hAnsi="Times New Roman" w:cs="Times New Roman"/>
          <w:sz w:val="28"/>
          <w:szCs w:val="28"/>
        </w:rPr>
        <w:t>:</w:t>
      </w:r>
      <w:r w:rsidRPr="009D0FFA">
        <w:rPr>
          <w:rFonts w:ascii="Times New Roman" w:hAnsi="Times New Roman" w:cs="Times New Roman"/>
          <w:sz w:val="28"/>
          <w:szCs w:val="28"/>
        </w:rPr>
        <w:br/>
      </w:r>
      <w:r w:rsidRPr="009D0FFA">
        <w:rPr>
          <w:rFonts w:ascii="Times New Roman" w:hAnsi="Times New Roman" w:cs="Times New Roman"/>
          <w:i/>
          <w:iCs/>
          <w:sz w:val="28"/>
          <w:szCs w:val="28"/>
        </w:rPr>
        <w:t>acute, injury-analog biological buffering</w:t>
      </w:r>
      <w:r w:rsidRPr="009D0FFA">
        <w:rPr>
          <w:rFonts w:ascii="Times New Roman" w:hAnsi="Times New Roman" w:cs="Times New Roman"/>
          <w:sz w:val="28"/>
          <w:szCs w:val="28"/>
        </w:rPr>
        <w:t xml:space="preserve"> delivered via a </w:t>
      </w:r>
      <w:r w:rsidRPr="009D0FFA">
        <w:rPr>
          <w:rFonts w:ascii="Times New Roman" w:hAnsi="Times New Roman" w:cs="Times New Roman"/>
          <w:b/>
          <w:bCs/>
          <w:sz w:val="28"/>
          <w:szCs w:val="28"/>
        </w:rPr>
        <w:t>biosensor–edge-AI–microneedle triad</w:t>
      </w:r>
      <w:r w:rsidRPr="009D0FFA">
        <w:rPr>
          <w:rFonts w:ascii="Times New Roman" w:hAnsi="Times New Roman" w:cs="Times New Roman"/>
          <w:sz w:val="28"/>
          <w:szCs w:val="28"/>
        </w:rPr>
        <w:t xml:space="preserve">, designed to attenuate extreme physiological cascades </w:t>
      </w:r>
      <w:r w:rsidRPr="009D0FFA">
        <w:rPr>
          <w:rFonts w:ascii="Times New Roman" w:hAnsi="Times New Roman" w:cs="Times New Roman"/>
          <w:b/>
          <w:bCs/>
          <w:sz w:val="28"/>
          <w:szCs w:val="28"/>
        </w:rPr>
        <w:t>at onset</w:t>
      </w:r>
      <w:r w:rsidRPr="009D0FFA">
        <w:rPr>
          <w:rFonts w:ascii="Times New Roman" w:hAnsi="Times New Roman" w:cs="Times New Roman"/>
          <w:sz w:val="28"/>
          <w:szCs w:val="28"/>
        </w:rPr>
        <w:t>, not to modify behavior, mood, cognition, or decision-making.</w:t>
      </w:r>
    </w:p>
    <w:p w14:paraId="549DB3C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The system is explicitly constrained:</w:t>
      </w:r>
    </w:p>
    <w:p w14:paraId="4105D68B" w14:textId="77777777" w:rsidR="009D0FFA" w:rsidRPr="009D0FFA" w:rsidRDefault="009D0FFA" w:rsidP="009D0FFA">
      <w:pPr>
        <w:numPr>
          <w:ilvl w:val="0"/>
          <w:numId w:val="4"/>
        </w:numPr>
        <w:rPr>
          <w:rFonts w:ascii="Times New Roman" w:hAnsi="Times New Roman" w:cs="Times New Roman"/>
          <w:sz w:val="28"/>
          <w:szCs w:val="28"/>
        </w:rPr>
      </w:pPr>
      <w:r w:rsidRPr="009D0FFA">
        <w:rPr>
          <w:rFonts w:ascii="Times New Roman" w:hAnsi="Times New Roman" w:cs="Times New Roman"/>
          <w:sz w:val="28"/>
          <w:szCs w:val="28"/>
        </w:rPr>
        <w:t xml:space="preserve">It is </w:t>
      </w:r>
      <w:r w:rsidRPr="009D0FFA">
        <w:rPr>
          <w:rFonts w:ascii="Times New Roman" w:hAnsi="Times New Roman" w:cs="Times New Roman"/>
          <w:b/>
          <w:bCs/>
          <w:sz w:val="28"/>
          <w:szCs w:val="28"/>
        </w:rPr>
        <w:t>not behavioral</w:t>
      </w:r>
    </w:p>
    <w:p w14:paraId="18046DC3" w14:textId="77777777" w:rsidR="009D0FFA" w:rsidRPr="009D0FFA" w:rsidRDefault="009D0FFA" w:rsidP="009D0FFA">
      <w:pPr>
        <w:numPr>
          <w:ilvl w:val="0"/>
          <w:numId w:val="4"/>
        </w:numPr>
        <w:rPr>
          <w:rFonts w:ascii="Times New Roman" w:hAnsi="Times New Roman" w:cs="Times New Roman"/>
          <w:sz w:val="28"/>
          <w:szCs w:val="28"/>
        </w:rPr>
      </w:pPr>
      <w:r w:rsidRPr="009D0FFA">
        <w:rPr>
          <w:rFonts w:ascii="Times New Roman" w:hAnsi="Times New Roman" w:cs="Times New Roman"/>
          <w:sz w:val="28"/>
          <w:szCs w:val="28"/>
        </w:rPr>
        <w:t xml:space="preserve">It is </w:t>
      </w:r>
      <w:r w:rsidRPr="009D0FFA">
        <w:rPr>
          <w:rFonts w:ascii="Times New Roman" w:hAnsi="Times New Roman" w:cs="Times New Roman"/>
          <w:b/>
          <w:bCs/>
          <w:sz w:val="28"/>
          <w:szCs w:val="28"/>
        </w:rPr>
        <w:t>not calming</w:t>
      </w:r>
    </w:p>
    <w:p w14:paraId="7CF38E74" w14:textId="59A73273" w:rsidR="009D0FFA" w:rsidRPr="009D0FFA" w:rsidRDefault="009D0FFA" w:rsidP="009D0FFA">
      <w:pPr>
        <w:numPr>
          <w:ilvl w:val="0"/>
          <w:numId w:val="4"/>
        </w:numPr>
        <w:rPr>
          <w:rFonts w:ascii="Times New Roman" w:hAnsi="Times New Roman" w:cs="Times New Roman"/>
          <w:sz w:val="28"/>
          <w:szCs w:val="28"/>
        </w:rPr>
      </w:pPr>
      <w:r w:rsidRPr="009D0FFA">
        <w:rPr>
          <w:rFonts w:ascii="Times New Roman" w:hAnsi="Times New Roman" w:cs="Times New Roman"/>
          <w:sz w:val="28"/>
          <w:szCs w:val="28"/>
        </w:rPr>
        <w:t xml:space="preserve">It is </w:t>
      </w:r>
      <w:r w:rsidRPr="009D0FFA">
        <w:rPr>
          <w:rFonts w:ascii="Times New Roman" w:hAnsi="Times New Roman" w:cs="Times New Roman"/>
          <w:b/>
          <w:bCs/>
          <w:sz w:val="28"/>
          <w:szCs w:val="28"/>
        </w:rPr>
        <w:t>not performance-enhancing</w:t>
      </w:r>
      <w:r w:rsidR="00A34646">
        <w:rPr>
          <w:rFonts w:ascii="Times New Roman" w:hAnsi="Times New Roman" w:cs="Times New Roman"/>
          <w:b/>
          <w:bCs/>
          <w:sz w:val="28"/>
          <w:szCs w:val="28"/>
        </w:rPr>
        <w:t xml:space="preserve"> (beyond mitigation)</w:t>
      </w:r>
    </w:p>
    <w:p w14:paraId="26ACF652" w14:textId="77777777" w:rsidR="009D0FFA" w:rsidRPr="009D0FFA" w:rsidRDefault="009D0FFA" w:rsidP="009D0FFA">
      <w:pPr>
        <w:numPr>
          <w:ilvl w:val="0"/>
          <w:numId w:val="4"/>
        </w:numPr>
        <w:rPr>
          <w:rFonts w:ascii="Times New Roman" w:hAnsi="Times New Roman" w:cs="Times New Roman"/>
          <w:sz w:val="28"/>
          <w:szCs w:val="28"/>
        </w:rPr>
      </w:pPr>
      <w:r w:rsidRPr="009D0FFA">
        <w:rPr>
          <w:rFonts w:ascii="Times New Roman" w:hAnsi="Times New Roman" w:cs="Times New Roman"/>
          <w:sz w:val="28"/>
          <w:szCs w:val="28"/>
        </w:rPr>
        <w:t xml:space="preserve">It is </w:t>
      </w:r>
      <w:r w:rsidRPr="009D0FFA">
        <w:rPr>
          <w:rFonts w:ascii="Times New Roman" w:hAnsi="Times New Roman" w:cs="Times New Roman"/>
          <w:b/>
          <w:bCs/>
          <w:sz w:val="28"/>
          <w:szCs w:val="28"/>
        </w:rPr>
        <w:t>not compliance-enforcing</w:t>
      </w:r>
    </w:p>
    <w:p w14:paraId="54727D2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Its sole purpose is </w:t>
      </w:r>
      <w:r w:rsidRPr="009D0FFA">
        <w:rPr>
          <w:rFonts w:ascii="Times New Roman" w:hAnsi="Times New Roman" w:cs="Times New Roman"/>
          <w:b/>
          <w:bCs/>
          <w:sz w:val="28"/>
          <w:szCs w:val="28"/>
        </w:rPr>
        <w:t>damage containment</w:t>
      </w:r>
      <w:r w:rsidRPr="009D0FFA">
        <w:rPr>
          <w:rFonts w:ascii="Times New Roman" w:hAnsi="Times New Roman" w:cs="Times New Roman"/>
          <w:sz w:val="28"/>
          <w:szCs w:val="28"/>
        </w:rPr>
        <w:t xml:space="preserve"> when physiological escalation threatens secondary injury before conventional care can be applied.</w:t>
      </w:r>
    </w:p>
    <w:p w14:paraId="473756EB" w14:textId="77777777" w:rsidR="009D0FFA" w:rsidRPr="009D0FFA" w:rsidRDefault="009D0FFA" w:rsidP="00F41EE8">
      <w:pPr>
        <w:pBdr>
          <w:bottom w:val="single" w:sz="4" w:space="1" w:color="auto"/>
        </w:pBdr>
        <w:spacing w:after="0"/>
        <w:rPr>
          <w:rFonts w:ascii="Times New Roman" w:hAnsi="Times New Roman" w:cs="Times New Roman"/>
          <w:sz w:val="28"/>
          <w:szCs w:val="28"/>
        </w:rPr>
      </w:pPr>
      <w:r w:rsidRPr="009D0FFA">
        <w:rPr>
          <w:rFonts w:ascii="Times New Roman" w:hAnsi="Times New Roman" w:cs="Times New Roman"/>
          <w:sz w:val="28"/>
          <w:szCs w:val="28"/>
        </w:rPr>
        <w:t xml:space="preserve">CERBERUS does </w:t>
      </w:r>
      <w:r w:rsidRPr="009D0FFA">
        <w:rPr>
          <w:rFonts w:ascii="Times New Roman" w:hAnsi="Times New Roman" w:cs="Times New Roman"/>
          <w:b/>
          <w:bCs/>
          <w:sz w:val="28"/>
          <w:szCs w:val="28"/>
        </w:rPr>
        <w:t>not</w:t>
      </w:r>
      <w:r w:rsidRPr="009D0FFA">
        <w:rPr>
          <w:rFonts w:ascii="Times New Roman" w:hAnsi="Times New Roman" w:cs="Times New Roman"/>
          <w:sz w:val="28"/>
          <w:szCs w:val="28"/>
        </w:rPr>
        <w:t xml:space="preserve"> claim to cure, normalize, or prevent psychiatric disease. All biological effects are probabilistic, context-dependent, and time-limited. The system is explicitly scoped to </w:t>
      </w:r>
      <w:r w:rsidRPr="009D0FFA">
        <w:rPr>
          <w:rFonts w:ascii="Times New Roman" w:hAnsi="Times New Roman" w:cs="Times New Roman"/>
          <w:b/>
          <w:bCs/>
          <w:sz w:val="28"/>
          <w:szCs w:val="28"/>
        </w:rPr>
        <w:t>harm mitigation under delayed-intervention risk</w:t>
      </w:r>
      <w:r w:rsidRPr="009D0FFA">
        <w:rPr>
          <w:rFonts w:ascii="Times New Roman" w:hAnsi="Times New Roman" w:cs="Times New Roman"/>
          <w:sz w:val="28"/>
          <w:szCs w:val="28"/>
        </w:rPr>
        <w:t>, operating only when failure to act plausibly worsens injury trajectories.</w:t>
      </w:r>
    </w:p>
    <w:p w14:paraId="310E5FD8" w14:textId="497BA713" w:rsidR="009D0FFA" w:rsidRPr="009D0FFA" w:rsidRDefault="009D0FFA" w:rsidP="00F41EE8">
      <w:pPr>
        <w:pBdr>
          <w:bottom w:val="single" w:sz="4" w:space="1" w:color="auto"/>
        </w:pBdr>
        <w:rPr>
          <w:rFonts w:ascii="Times New Roman" w:hAnsi="Times New Roman" w:cs="Times New Roman"/>
          <w:sz w:val="28"/>
          <w:szCs w:val="28"/>
        </w:rPr>
      </w:pPr>
    </w:p>
    <w:p w14:paraId="0F7FBF95" w14:textId="77777777" w:rsidR="009D0FFA" w:rsidRPr="009D0FFA" w:rsidRDefault="009D0FFA" w:rsidP="00F41EE8">
      <w:pPr>
        <w:spacing w:before="240"/>
        <w:rPr>
          <w:rFonts w:ascii="Times New Roman" w:hAnsi="Times New Roman" w:cs="Times New Roman"/>
          <w:b/>
          <w:bCs/>
          <w:sz w:val="34"/>
          <w:szCs w:val="34"/>
        </w:rPr>
      </w:pPr>
      <w:r w:rsidRPr="009D0FFA">
        <w:rPr>
          <w:rFonts w:ascii="Times New Roman" w:hAnsi="Times New Roman" w:cs="Times New Roman"/>
          <w:b/>
          <w:bCs/>
          <w:sz w:val="34"/>
          <w:szCs w:val="34"/>
        </w:rPr>
        <w:t>Synthesis Scope (CERBERUS / Military Context)</w:t>
      </w:r>
    </w:p>
    <w:p w14:paraId="32E57000"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t>Peptide mechanisms:</w:t>
      </w:r>
      <w:r w:rsidRPr="009D0FFA">
        <w:rPr>
          <w:rFonts w:ascii="Times New Roman" w:hAnsi="Times New Roman" w:cs="Times New Roman"/>
          <w:sz w:val="28"/>
          <w:szCs w:val="28"/>
        </w:rPr>
        <w:t xml:space="preserve"> acute neurovascular stabilization, monoamine homeostasis, inflammatory modulation following trauma-analog stress</w:t>
      </w:r>
    </w:p>
    <w:p w14:paraId="270684AC"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t>Biomarker engineering:</w:t>
      </w:r>
      <w:r w:rsidRPr="009D0FFA">
        <w:rPr>
          <w:rFonts w:ascii="Times New Roman" w:hAnsi="Times New Roman" w:cs="Times New Roman"/>
          <w:sz w:val="28"/>
          <w:szCs w:val="28"/>
        </w:rPr>
        <w:t xml:space="preserve"> adult baseline-normalized thresholds, multi-modal sensor fusion</w:t>
      </w:r>
    </w:p>
    <w:p w14:paraId="401C77B3"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lastRenderedPageBreak/>
        <w:t>Microneedle delivery:</w:t>
      </w:r>
      <w:r w:rsidRPr="009D0FFA">
        <w:rPr>
          <w:rFonts w:ascii="Times New Roman" w:hAnsi="Times New Roman" w:cs="Times New Roman"/>
          <w:sz w:val="28"/>
          <w:szCs w:val="28"/>
        </w:rPr>
        <w:t xml:space="preserve"> rapid, non-sedating, non-impairing dermal administration</w:t>
      </w:r>
    </w:p>
    <w:p w14:paraId="1F28F73B"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t>Edge AI:</w:t>
      </w:r>
      <w:r w:rsidRPr="009D0FFA">
        <w:rPr>
          <w:rFonts w:ascii="Times New Roman" w:hAnsi="Times New Roman" w:cs="Times New Roman"/>
          <w:sz w:val="28"/>
          <w:szCs w:val="28"/>
        </w:rPr>
        <w:t xml:space="preserve"> local pattern recognition for </w:t>
      </w:r>
      <w:r w:rsidRPr="009D0FFA">
        <w:rPr>
          <w:rFonts w:ascii="Times New Roman" w:hAnsi="Times New Roman" w:cs="Times New Roman"/>
          <w:i/>
          <w:iCs/>
          <w:sz w:val="28"/>
          <w:szCs w:val="28"/>
        </w:rPr>
        <w:t>eligibility detection only</w:t>
      </w:r>
    </w:p>
    <w:p w14:paraId="01A146D0"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t>Closed-loop logic:</w:t>
      </w:r>
      <w:r w:rsidRPr="009D0FFA">
        <w:rPr>
          <w:rFonts w:ascii="Times New Roman" w:hAnsi="Times New Roman" w:cs="Times New Roman"/>
          <w:sz w:val="28"/>
          <w:szCs w:val="28"/>
        </w:rPr>
        <w:t xml:space="preserve"> bounded, event-limited physiological buffering</w:t>
      </w:r>
    </w:p>
    <w:p w14:paraId="23264BC4" w14:textId="77777777" w:rsidR="009D0FFA" w:rsidRPr="009D0FFA" w:rsidRDefault="009D0FFA" w:rsidP="009D0FFA">
      <w:pPr>
        <w:numPr>
          <w:ilvl w:val="0"/>
          <w:numId w:val="5"/>
        </w:numPr>
        <w:rPr>
          <w:rFonts w:ascii="Times New Roman" w:hAnsi="Times New Roman" w:cs="Times New Roman"/>
          <w:sz w:val="28"/>
          <w:szCs w:val="28"/>
        </w:rPr>
      </w:pPr>
      <w:r w:rsidRPr="009D0FFA">
        <w:rPr>
          <w:rFonts w:ascii="Times New Roman" w:hAnsi="Times New Roman" w:cs="Times New Roman"/>
          <w:b/>
          <w:bCs/>
          <w:sz w:val="28"/>
          <w:szCs w:val="28"/>
        </w:rPr>
        <w:t>Validation pathway:</w:t>
      </w:r>
      <w:r w:rsidRPr="009D0FFA">
        <w:rPr>
          <w:rFonts w:ascii="Times New Roman" w:hAnsi="Times New Roman" w:cs="Times New Roman"/>
          <w:sz w:val="28"/>
          <w:szCs w:val="28"/>
        </w:rPr>
        <w:t xml:space="preserve"> large-animal → rodent → primate → adult human safety evaluation</w:t>
      </w:r>
    </w:p>
    <w:p w14:paraId="0F356C82"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Mechanistic and Engineering Detail Scope</w:t>
      </w:r>
    </w:p>
    <w:p w14:paraId="0F906F17" w14:textId="77777777" w:rsidR="009D0FFA" w:rsidRPr="009D0FFA" w:rsidRDefault="009D0FFA" w:rsidP="009D0FFA">
      <w:pPr>
        <w:numPr>
          <w:ilvl w:val="0"/>
          <w:numId w:val="6"/>
        </w:numPr>
        <w:rPr>
          <w:rFonts w:ascii="Times New Roman" w:hAnsi="Times New Roman" w:cs="Times New Roman"/>
          <w:sz w:val="28"/>
          <w:szCs w:val="28"/>
        </w:rPr>
      </w:pPr>
      <w:r w:rsidRPr="009D0FFA">
        <w:rPr>
          <w:rFonts w:ascii="Times New Roman" w:hAnsi="Times New Roman" w:cs="Times New Roman"/>
          <w:b/>
          <w:bCs/>
          <w:sz w:val="28"/>
          <w:szCs w:val="28"/>
        </w:rPr>
        <w:t>Peptide signaling:</w:t>
      </w:r>
      <w:r w:rsidRPr="009D0FFA">
        <w:rPr>
          <w:rFonts w:ascii="Times New Roman" w:hAnsi="Times New Roman" w:cs="Times New Roman"/>
          <w:sz w:val="28"/>
          <w:szCs w:val="28"/>
        </w:rPr>
        <w:t xml:space="preserve"> Egr1/Akt1/Kras/</w:t>
      </w:r>
      <w:proofErr w:type="spellStart"/>
      <w:r w:rsidRPr="009D0FFA">
        <w:rPr>
          <w:rFonts w:ascii="Times New Roman" w:hAnsi="Times New Roman" w:cs="Times New Roman"/>
          <w:sz w:val="28"/>
          <w:szCs w:val="28"/>
        </w:rPr>
        <w:t>Src</w:t>
      </w:r>
      <w:proofErr w:type="spellEnd"/>
      <w:r w:rsidRPr="009D0FFA">
        <w:rPr>
          <w:rFonts w:ascii="Times New Roman" w:hAnsi="Times New Roman" w:cs="Times New Roman"/>
          <w:sz w:val="28"/>
          <w:szCs w:val="28"/>
        </w:rPr>
        <w:t>/</w:t>
      </w:r>
      <w:proofErr w:type="spellStart"/>
      <w:r w:rsidRPr="009D0FFA">
        <w:rPr>
          <w:rFonts w:ascii="Times New Roman" w:hAnsi="Times New Roman" w:cs="Times New Roman"/>
          <w:sz w:val="28"/>
          <w:szCs w:val="28"/>
        </w:rPr>
        <w:t>Foxo</w:t>
      </w:r>
      <w:proofErr w:type="spellEnd"/>
      <w:r w:rsidRPr="009D0FFA">
        <w:rPr>
          <w:rFonts w:ascii="Times New Roman" w:hAnsi="Times New Roman" w:cs="Times New Roman"/>
          <w:sz w:val="28"/>
          <w:szCs w:val="28"/>
        </w:rPr>
        <w:t>/</w:t>
      </w:r>
      <w:proofErr w:type="spellStart"/>
      <w:r w:rsidRPr="009D0FFA">
        <w:rPr>
          <w:rFonts w:ascii="Times New Roman" w:hAnsi="Times New Roman" w:cs="Times New Roman"/>
          <w:sz w:val="28"/>
          <w:szCs w:val="28"/>
        </w:rPr>
        <w:t>Srf</w:t>
      </w:r>
      <w:proofErr w:type="spellEnd"/>
      <w:r w:rsidRPr="009D0FFA">
        <w:rPr>
          <w:rFonts w:ascii="Times New Roman" w:hAnsi="Times New Roman" w:cs="Times New Roman"/>
          <w:sz w:val="28"/>
          <w:szCs w:val="28"/>
        </w:rPr>
        <w:t>/Vegfr2/Nos3/Nos1 upregulation; Nos2/</w:t>
      </w:r>
      <w:proofErr w:type="spellStart"/>
      <w:r w:rsidRPr="009D0FFA">
        <w:rPr>
          <w:rFonts w:ascii="Times New Roman" w:hAnsi="Times New Roman" w:cs="Times New Roman"/>
          <w:sz w:val="28"/>
          <w:szCs w:val="28"/>
        </w:rPr>
        <w:t>Nfkb</w:t>
      </w:r>
      <w:proofErr w:type="spellEnd"/>
      <w:r w:rsidRPr="009D0FFA">
        <w:rPr>
          <w:rFonts w:ascii="Times New Roman" w:hAnsi="Times New Roman" w:cs="Times New Roman"/>
          <w:sz w:val="28"/>
          <w:szCs w:val="28"/>
        </w:rPr>
        <w:t xml:space="preserve"> suppression post–trauma analog</w:t>
      </w:r>
    </w:p>
    <w:p w14:paraId="3302757F" w14:textId="77777777" w:rsidR="009D0FFA" w:rsidRPr="009D0FFA" w:rsidRDefault="009D0FFA" w:rsidP="009D0FFA">
      <w:pPr>
        <w:numPr>
          <w:ilvl w:val="0"/>
          <w:numId w:val="6"/>
        </w:numPr>
        <w:rPr>
          <w:rFonts w:ascii="Times New Roman" w:hAnsi="Times New Roman" w:cs="Times New Roman"/>
          <w:sz w:val="28"/>
          <w:szCs w:val="28"/>
        </w:rPr>
      </w:pPr>
      <w:r w:rsidRPr="009D0FFA">
        <w:rPr>
          <w:rFonts w:ascii="Times New Roman" w:hAnsi="Times New Roman" w:cs="Times New Roman"/>
          <w:b/>
          <w:bCs/>
          <w:sz w:val="28"/>
          <w:szCs w:val="28"/>
        </w:rPr>
        <w:t>Fusion architecture:</w:t>
      </w:r>
      <w:r w:rsidRPr="009D0FFA">
        <w:rPr>
          <w:rFonts w:ascii="Times New Roman" w:hAnsi="Times New Roman" w:cs="Times New Roman"/>
          <w:sz w:val="28"/>
          <w:szCs w:val="28"/>
        </w:rPr>
        <w:t xml:space="preserve"> age- and baseline-normalized thresholds with Kalman-filtered multi-modal concurrence</w:t>
      </w:r>
    </w:p>
    <w:p w14:paraId="00626ACF" w14:textId="77777777" w:rsidR="009D0FFA" w:rsidRPr="009D0FFA" w:rsidRDefault="009D0FFA" w:rsidP="009D0FFA">
      <w:pPr>
        <w:numPr>
          <w:ilvl w:val="0"/>
          <w:numId w:val="6"/>
        </w:numPr>
        <w:rPr>
          <w:rFonts w:ascii="Times New Roman" w:hAnsi="Times New Roman" w:cs="Times New Roman"/>
          <w:sz w:val="28"/>
          <w:szCs w:val="28"/>
        </w:rPr>
      </w:pPr>
      <w:r w:rsidRPr="009D0FFA">
        <w:rPr>
          <w:rFonts w:ascii="Times New Roman" w:hAnsi="Times New Roman" w:cs="Times New Roman"/>
          <w:b/>
          <w:bCs/>
          <w:sz w:val="28"/>
          <w:szCs w:val="28"/>
        </w:rPr>
        <w:t>Microneedle physics/chemistry:</w:t>
      </w:r>
      <w:r w:rsidRPr="009D0FFA">
        <w:rPr>
          <w:rFonts w:ascii="Times New Roman" w:hAnsi="Times New Roman" w:cs="Times New Roman"/>
          <w:sz w:val="28"/>
          <w:szCs w:val="28"/>
        </w:rPr>
        <w:t xml:space="preserve"> dissolution kinetics, excipient-stabilized peptide integrity (≈98% at 6 months @ 4 °C), dermal pharmacokinetic interpretation</w:t>
      </w:r>
    </w:p>
    <w:p w14:paraId="5AA844FA" w14:textId="77777777" w:rsidR="009D0FFA" w:rsidRPr="009D0FFA" w:rsidRDefault="009D0FFA" w:rsidP="009D0FFA">
      <w:pPr>
        <w:numPr>
          <w:ilvl w:val="0"/>
          <w:numId w:val="6"/>
        </w:numPr>
        <w:rPr>
          <w:rFonts w:ascii="Times New Roman" w:hAnsi="Times New Roman" w:cs="Times New Roman"/>
          <w:sz w:val="28"/>
          <w:szCs w:val="28"/>
        </w:rPr>
      </w:pPr>
      <w:r w:rsidRPr="009D0FFA">
        <w:rPr>
          <w:rFonts w:ascii="Times New Roman" w:hAnsi="Times New Roman" w:cs="Times New Roman"/>
          <w:b/>
          <w:bCs/>
          <w:sz w:val="28"/>
          <w:szCs w:val="28"/>
        </w:rPr>
        <w:t>Edge computation:</w:t>
      </w:r>
      <w:r w:rsidRPr="009D0FFA">
        <w:rPr>
          <w:rFonts w:ascii="Times New Roman" w:hAnsi="Times New Roman" w:cs="Times New Roman"/>
          <w:sz w:val="28"/>
          <w:szCs w:val="28"/>
        </w:rPr>
        <w:t xml:space="preserve"> quantized LSTM/Transformer hybrids (INT8-class, sub–100 </w:t>
      </w:r>
      <w:proofErr w:type="spellStart"/>
      <w:r w:rsidRPr="009D0FFA">
        <w:rPr>
          <w:rFonts w:ascii="Times New Roman" w:hAnsi="Times New Roman" w:cs="Times New Roman"/>
          <w:sz w:val="28"/>
          <w:szCs w:val="28"/>
        </w:rPr>
        <w:t>ms</w:t>
      </w:r>
      <w:proofErr w:type="spellEnd"/>
      <w:r w:rsidRPr="009D0FFA">
        <w:rPr>
          <w:rFonts w:ascii="Times New Roman" w:hAnsi="Times New Roman" w:cs="Times New Roman"/>
          <w:sz w:val="28"/>
          <w:szCs w:val="28"/>
        </w:rPr>
        <w:t xml:space="preserve"> inference)</w:t>
      </w:r>
    </w:p>
    <w:p w14:paraId="046B0EBE" w14:textId="77777777" w:rsidR="009D0FFA" w:rsidRPr="009D0FFA" w:rsidRDefault="009D0FFA" w:rsidP="009D0FFA">
      <w:pPr>
        <w:numPr>
          <w:ilvl w:val="0"/>
          <w:numId w:val="6"/>
        </w:numPr>
        <w:rPr>
          <w:rFonts w:ascii="Times New Roman" w:hAnsi="Times New Roman" w:cs="Times New Roman"/>
          <w:sz w:val="28"/>
          <w:szCs w:val="28"/>
        </w:rPr>
      </w:pPr>
      <w:r w:rsidRPr="009D0FFA">
        <w:rPr>
          <w:rFonts w:ascii="Times New Roman" w:hAnsi="Times New Roman" w:cs="Times New Roman"/>
          <w:b/>
          <w:bCs/>
          <w:sz w:val="28"/>
          <w:szCs w:val="28"/>
        </w:rPr>
        <w:t>Control philosophy:</w:t>
      </w:r>
      <w:r w:rsidRPr="009D0FFA">
        <w:rPr>
          <w:rFonts w:ascii="Times New Roman" w:hAnsi="Times New Roman" w:cs="Times New Roman"/>
          <w:sz w:val="28"/>
          <w:szCs w:val="28"/>
        </w:rPr>
        <w:t xml:space="preserve"> conservative, saturation-limited, non-cumulative buffering</w:t>
      </w:r>
    </w:p>
    <w:p w14:paraId="425A2E7A" w14:textId="64446864" w:rsidR="000C2573" w:rsidRPr="000C2573" w:rsidRDefault="009D0FFA" w:rsidP="000C2573">
      <w:pPr>
        <w:numPr>
          <w:ilvl w:val="0"/>
          <w:numId w:val="6"/>
        </w:numPr>
        <w:spacing w:after="0"/>
        <w:rPr>
          <w:rFonts w:ascii="Times New Roman" w:hAnsi="Times New Roman" w:cs="Times New Roman"/>
          <w:sz w:val="28"/>
          <w:szCs w:val="28"/>
        </w:rPr>
      </w:pPr>
      <w:r w:rsidRPr="009D0FFA">
        <w:rPr>
          <w:rFonts w:ascii="Times New Roman" w:hAnsi="Times New Roman" w:cs="Times New Roman"/>
          <w:b/>
          <w:bCs/>
          <w:sz w:val="28"/>
          <w:szCs w:val="28"/>
        </w:rPr>
        <w:t>Preclinical validation:</w:t>
      </w:r>
      <w:r w:rsidRPr="009D0FFA">
        <w:rPr>
          <w:rFonts w:ascii="Times New Roman" w:hAnsi="Times New Roman" w:cs="Times New Roman"/>
          <w:sz w:val="28"/>
          <w:szCs w:val="28"/>
        </w:rPr>
        <w:t xml:space="preserve"> piglet → rodent → primate, progressing only under maintained safety margins</w:t>
      </w:r>
      <w:r w:rsidR="00F41EE8">
        <w:rPr>
          <w:rFonts w:ascii="Times New Roman" w:hAnsi="Times New Roman" w:cs="Times New Roman"/>
          <w:sz w:val="28"/>
          <w:szCs w:val="28"/>
        </w:rPr>
        <w:t>.</w:t>
      </w:r>
    </w:p>
    <w:p w14:paraId="0D6CB8B7" w14:textId="77777777" w:rsidR="000C2573" w:rsidRDefault="000C2573" w:rsidP="000C2573">
      <w:pPr>
        <w:pBdr>
          <w:bottom w:val="single" w:sz="4" w:space="1" w:color="auto"/>
        </w:pBdr>
        <w:spacing w:after="0"/>
        <w:rPr>
          <w:rFonts w:ascii="Times New Roman" w:hAnsi="Times New Roman" w:cs="Times New Roman"/>
          <w:b/>
          <w:bCs/>
          <w:sz w:val="34"/>
          <w:szCs w:val="34"/>
        </w:rPr>
      </w:pPr>
    </w:p>
    <w:p w14:paraId="69ED1838" w14:textId="77777777" w:rsidR="000C2573" w:rsidRDefault="000C2573" w:rsidP="000C2573">
      <w:pPr>
        <w:spacing w:after="0"/>
        <w:rPr>
          <w:rFonts w:ascii="Times New Roman" w:hAnsi="Times New Roman" w:cs="Times New Roman"/>
          <w:b/>
          <w:bCs/>
          <w:sz w:val="34"/>
          <w:szCs w:val="34"/>
        </w:rPr>
      </w:pPr>
    </w:p>
    <w:p w14:paraId="233F72D7" w14:textId="2F65A80F" w:rsid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Control Authority Model: Operator-Bound Actuation with Local Edge AI</w:t>
      </w:r>
    </w:p>
    <w:p w14:paraId="1D49AA70" w14:textId="77777777" w:rsidR="000C2573" w:rsidRPr="000C2573" w:rsidRDefault="000C2573" w:rsidP="000C2573">
      <w:pPr>
        <w:spacing w:after="0"/>
        <w:rPr>
          <w:rFonts w:ascii="Times New Roman" w:hAnsi="Times New Roman" w:cs="Times New Roman"/>
          <w:b/>
          <w:bCs/>
          <w:sz w:val="34"/>
          <w:szCs w:val="34"/>
        </w:rPr>
      </w:pPr>
    </w:p>
    <w:p w14:paraId="54255475"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CERBERUS is designed to operate without centralized or government-directed biomedical command. No external authority—military, medical, or institutional—possesses the ability to initiate, compel, or override peptide administration during </w:t>
      </w:r>
      <w:r w:rsidRPr="000C2573">
        <w:rPr>
          <w:rFonts w:ascii="Times New Roman" w:hAnsi="Times New Roman" w:cs="Times New Roman"/>
          <w:sz w:val="28"/>
          <w:szCs w:val="28"/>
        </w:rPr>
        <w:lastRenderedPageBreak/>
        <w:t>active operations. Control of biological intervention is neither hierarchical nor remote.</w:t>
      </w:r>
    </w:p>
    <w:p w14:paraId="3B854535" w14:textId="77777777" w:rsidR="000C2573" w:rsidRPr="000C2573" w:rsidRDefault="000C2573" w:rsidP="000C2573">
      <w:pPr>
        <w:spacing w:after="0"/>
        <w:rPr>
          <w:rFonts w:ascii="Times New Roman" w:hAnsi="Times New Roman" w:cs="Times New Roman"/>
          <w:sz w:val="28"/>
          <w:szCs w:val="28"/>
        </w:rPr>
      </w:pPr>
    </w:p>
    <w:p w14:paraId="3725E8BE" w14:textId="77777777"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Authority Separation</w:t>
      </w:r>
    </w:p>
    <w:p w14:paraId="1F8B7677" w14:textId="77777777" w:rsidR="000C2573" w:rsidRPr="000C2573" w:rsidRDefault="000C2573" w:rsidP="000C2573">
      <w:pPr>
        <w:spacing w:after="0"/>
        <w:rPr>
          <w:rFonts w:ascii="Times New Roman" w:hAnsi="Times New Roman" w:cs="Times New Roman"/>
          <w:b/>
          <w:bCs/>
          <w:sz w:val="28"/>
          <w:szCs w:val="28"/>
        </w:rPr>
      </w:pPr>
    </w:p>
    <w:p w14:paraId="445E8B81" w14:textId="77777777" w:rsidR="000C2573" w:rsidRP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CERBERUS explicitly separates </w:t>
      </w:r>
      <w:r w:rsidRPr="000C2573">
        <w:rPr>
          <w:rFonts w:ascii="Times New Roman" w:hAnsi="Times New Roman" w:cs="Times New Roman"/>
          <w:b/>
          <w:bCs/>
          <w:sz w:val="28"/>
          <w:szCs w:val="28"/>
        </w:rPr>
        <w:t>policy</w:t>
      </w:r>
      <w:r w:rsidRPr="000C2573">
        <w:rPr>
          <w:rFonts w:ascii="Times New Roman" w:hAnsi="Times New Roman" w:cs="Times New Roman"/>
          <w:sz w:val="28"/>
          <w:szCs w:val="28"/>
        </w:rPr>
        <w:t xml:space="preserve">, </w:t>
      </w:r>
      <w:r w:rsidRPr="000C2573">
        <w:rPr>
          <w:rFonts w:ascii="Times New Roman" w:hAnsi="Times New Roman" w:cs="Times New Roman"/>
          <w:b/>
          <w:bCs/>
          <w:sz w:val="28"/>
          <w:szCs w:val="28"/>
        </w:rPr>
        <w:t>eligibility detection</w:t>
      </w:r>
      <w:r w:rsidRPr="000C2573">
        <w:rPr>
          <w:rFonts w:ascii="Times New Roman" w:hAnsi="Times New Roman" w:cs="Times New Roman"/>
          <w:sz w:val="28"/>
          <w:szCs w:val="28"/>
        </w:rPr>
        <w:t xml:space="preserve">, and </w:t>
      </w:r>
      <w:r w:rsidRPr="000C2573">
        <w:rPr>
          <w:rFonts w:ascii="Times New Roman" w:hAnsi="Times New Roman" w:cs="Times New Roman"/>
          <w:b/>
          <w:bCs/>
          <w:sz w:val="28"/>
          <w:szCs w:val="28"/>
        </w:rPr>
        <w:t>actuation execution</w:t>
      </w:r>
      <w:r w:rsidRPr="000C2573">
        <w:rPr>
          <w:rFonts w:ascii="Times New Roman" w:hAnsi="Times New Roman" w:cs="Times New Roman"/>
          <w:sz w:val="28"/>
          <w:szCs w:val="28"/>
        </w:rPr>
        <w:t>:</w:t>
      </w:r>
    </w:p>
    <w:p w14:paraId="7A1A9C77" w14:textId="77777777" w:rsidR="000C2573" w:rsidRPr="000C2573" w:rsidRDefault="000C2573" w:rsidP="000C2573">
      <w:pPr>
        <w:numPr>
          <w:ilvl w:val="0"/>
          <w:numId w:val="26"/>
        </w:numPr>
        <w:spacing w:after="0"/>
        <w:rPr>
          <w:rFonts w:ascii="Times New Roman" w:hAnsi="Times New Roman" w:cs="Times New Roman"/>
          <w:sz w:val="28"/>
          <w:szCs w:val="28"/>
        </w:rPr>
      </w:pPr>
      <w:r w:rsidRPr="000C2573">
        <w:rPr>
          <w:rFonts w:ascii="Times New Roman" w:hAnsi="Times New Roman" w:cs="Times New Roman"/>
          <w:b/>
          <w:bCs/>
          <w:sz w:val="28"/>
          <w:szCs w:val="28"/>
        </w:rPr>
        <w:t>Policy and constraints</w:t>
      </w:r>
      <w:r w:rsidRPr="000C2573">
        <w:rPr>
          <w:rFonts w:ascii="Times New Roman" w:hAnsi="Times New Roman" w:cs="Times New Roman"/>
          <w:sz w:val="28"/>
          <w:szCs w:val="28"/>
        </w:rPr>
        <w:t xml:space="preserve"> are defined pre-deployment through configuration, doctrine, and firmware limits.</w:t>
      </w:r>
    </w:p>
    <w:p w14:paraId="69F181CE" w14:textId="77777777" w:rsidR="000C2573" w:rsidRPr="000C2573" w:rsidRDefault="000C2573" w:rsidP="000C2573">
      <w:pPr>
        <w:numPr>
          <w:ilvl w:val="0"/>
          <w:numId w:val="26"/>
        </w:numPr>
        <w:spacing w:after="0"/>
        <w:rPr>
          <w:rFonts w:ascii="Times New Roman" w:hAnsi="Times New Roman" w:cs="Times New Roman"/>
          <w:sz w:val="28"/>
          <w:szCs w:val="28"/>
        </w:rPr>
      </w:pPr>
      <w:r w:rsidRPr="000C2573">
        <w:rPr>
          <w:rFonts w:ascii="Times New Roman" w:hAnsi="Times New Roman" w:cs="Times New Roman"/>
          <w:b/>
          <w:bCs/>
          <w:sz w:val="28"/>
          <w:szCs w:val="28"/>
        </w:rPr>
        <w:t>Eligibility detection</w:t>
      </w:r>
      <w:r w:rsidRPr="000C2573">
        <w:rPr>
          <w:rFonts w:ascii="Times New Roman" w:hAnsi="Times New Roman" w:cs="Times New Roman"/>
          <w:sz w:val="28"/>
          <w:szCs w:val="28"/>
        </w:rPr>
        <w:t xml:space="preserve"> is performed autonomously by a local edge-AI system using real-time physiological signals.</w:t>
      </w:r>
    </w:p>
    <w:p w14:paraId="710DB059" w14:textId="77777777" w:rsidR="000C2573" w:rsidRPr="000C2573" w:rsidRDefault="000C2573" w:rsidP="000C2573">
      <w:pPr>
        <w:numPr>
          <w:ilvl w:val="0"/>
          <w:numId w:val="26"/>
        </w:numPr>
        <w:spacing w:after="0"/>
        <w:rPr>
          <w:rFonts w:ascii="Times New Roman" w:hAnsi="Times New Roman" w:cs="Times New Roman"/>
          <w:sz w:val="28"/>
          <w:szCs w:val="28"/>
        </w:rPr>
      </w:pPr>
      <w:r w:rsidRPr="000C2573">
        <w:rPr>
          <w:rFonts w:ascii="Times New Roman" w:hAnsi="Times New Roman" w:cs="Times New Roman"/>
          <w:b/>
          <w:bCs/>
          <w:sz w:val="28"/>
          <w:szCs w:val="28"/>
        </w:rPr>
        <w:t>Actuation execution</w:t>
      </w:r>
      <w:r w:rsidRPr="000C2573">
        <w:rPr>
          <w:rFonts w:ascii="Times New Roman" w:hAnsi="Times New Roman" w:cs="Times New Roman"/>
          <w:sz w:val="28"/>
          <w:szCs w:val="28"/>
        </w:rPr>
        <w:t xml:space="preserve"> is performed locally by the device only when all pre-authorized conditions are simultaneously satisfied.</w:t>
      </w:r>
    </w:p>
    <w:p w14:paraId="3533317B"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At no point does a government operator, commander, medic, or remote system issue a real-time command to administer peptides.</w:t>
      </w:r>
    </w:p>
    <w:p w14:paraId="45AAACC9" w14:textId="77777777" w:rsidR="000C2573" w:rsidRPr="000C2573" w:rsidRDefault="000C2573" w:rsidP="000C2573">
      <w:pPr>
        <w:spacing w:after="0"/>
        <w:rPr>
          <w:rFonts w:ascii="Times New Roman" w:hAnsi="Times New Roman" w:cs="Times New Roman"/>
          <w:sz w:val="28"/>
          <w:szCs w:val="28"/>
        </w:rPr>
      </w:pPr>
    </w:p>
    <w:p w14:paraId="07FE0BEF" w14:textId="77777777"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Role of Edge AI</w:t>
      </w:r>
    </w:p>
    <w:p w14:paraId="638582DC" w14:textId="77777777" w:rsidR="000C2573" w:rsidRPr="000C2573" w:rsidRDefault="000C2573" w:rsidP="000C2573">
      <w:pPr>
        <w:spacing w:after="0"/>
        <w:rPr>
          <w:rFonts w:ascii="Times New Roman" w:hAnsi="Times New Roman" w:cs="Times New Roman"/>
          <w:b/>
          <w:bCs/>
          <w:sz w:val="28"/>
          <w:szCs w:val="28"/>
        </w:rPr>
      </w:pPr>
    </w:p>
    <w:p w14:paraId="381C97E8" w14:textId="77777777" w:rsidR="000C2573" w:rsidRP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The edge-AI layer is responsible for </w:t>
      </w:r>
      <w:r w:rsidRPr="000C2573">
        <w:rPr>
          <w:rFonts w:ascii="Times New Roman" w:hAnsi="Times New Roman" w:cs="Times New Roman"/>
          <w:b/>
          <w:bCs/>
          <w:sz w:val="28"/>
          <w:szCs w:val="28"/>
        </w:rPr>
        <w:t>real-time physiological interpretation and constraint enforcement</w:t>
      </w:r>
      <w:r w:rsidRPr="000C2573">
        <w:rPr>
          <w:rFonts w:ascii="Times New Roman" w:hAnsi="Times New Roman" w:cs="Times New Roman"/>
          <w:sz w:val="28"/>
          <w:szCs w:val="28"/>
        </w:rPr>
        <w:t>, not strategic decision-making. Its functions include:</w:t>
      </w:r>
    </w:p>
    <w:p w14:paraId="3BFC6F15" w14:textId="77777777" w:rsidR="000C2573" w:rsidRPr="000C2573" w:rsidRDefault="000C2573" w:rsidP="000C2573">
      <w:pPr>
        <w:numPr>
          <w:ilvl w:val="0"/>
          <w:numId w:val="27"/>
        </w:numPr>
        <w:spacing w:after="0"/>
        <w:rPr>
          <w:rFonts w:ascii="Times New Roman" w:hAnsi="Times New Roman" w:cs="Times New Roman"/>
          <w:sz w:val="28"/>
          <w:szCs w:val="28"/>
        </w:rPr>
      </w:pPr>
      <w:r w:rsidRPr="000C2573">
        <w:rPr>
          <w:rFonts w:ascii="Times New Roman" w:hAnsi="Times New Roman" w:cs="Times New Roman"/>
          <w:sz w:val="28"/>
          <w:szCs w:val="28"/>
        </w:rPr>
        <w:t>Continuous evaluation of multi-modal physiological signals against operator-specific baselines</w:t>
      </w:r>
    </w:p>
    <w:p w14:paraId="5E3E3D43" w14:textId="77777777" w:rsidR="000C2573" w:rsidRPr="000C2573" w:rsidRDefault="000C2573" w:rsidP="000C2573">
      <w:pPr>
        <w:numPr>
          <w:ilvl w:val="0"/>
          <w:numId w:val="27"/>
        </w:numPr>
        <w:spacing w:after="0"/>
        <w:rPr>
          <w:rFonts w:ascii="Times New Roman" w:hAnsi="Times New Roman" w:cs="Times New Roman"/>
          <w:sz w:val="28"/>
          <w:szCs w:val="28"/>
        </w:rPr>
      </w:pPr>
      <w:r w:rsidRPr="000C2573">
        <w:rPr>
          <w:rFonts w:ascii="Times New Roman" w:hAnsi="Times New Roman" w:cs="Times New Roman"/>
          <w:sz w:val="28"/>
          <w:szCs w:val="28"/>
        </w:rPr>
        <w:t>Identification of acute escalation patterns consistent with injury-analog stress states</w:t>
      </w:r>
    </w:p>
    <w:p w14:paraId="14C11BDE" w14:textId="77777777" w:rsidR="000C2573" w:rsidRPr="000C2573" w:rsidRDefault="000C2573" w:rsidP="000C2573">
      <w:pPr>
        <w:numPr>
          <w:ilvl w:val="0"/>
          <w:numId w:val="27"/>
        </w:numPr>
        <w:spacing w:after="0"/>
        <w:rPr>
          <w:rFonts w:ascii="Times New Roman" w:hAnsi="Times New Roman" w:cs="Times New Roman"/>
          <w:sz w:val="28"/>
          <w:szCs w:val="28"/>
        </w:rPr>
      </w:pPr>
      <w:r w:rsidRPr="000C2573">
        <w:rPr>
          <w:rFonts w:ascii="Times New Roman" w:hAnsi="Times New Roman" w:cs="Times New Roman"/>
          <w:sz w:val="28"/>
          <w:szCs w:val="28"/>
        </w:rPr>
        <w:t>Verification that all safety, consent, integrity, and exposure limits remain satisfied</w:t>
      </w:r>
    </w:p>
    <w:p w14:paraId="7B0C64B9" w14:textId="39D7AEC9" w:rsidR="000C2573" w:rsidRPr="000C2573" w:rsidRDefault="000C2573" w:rsidP="000C2573">
      <w:pPr>
        <w:numPr>
          <w:ilvl w:val="0"/>
          <w:numId w:val="27"/>
        </w:numPr>
        <w:rPr>
          <w:rFonts w:ascii="Times New Roman" w:hAnsi="Times New Roman" w:cs="Times New Roman"/>
          <w:sz w:val="28"/>
          <w:szCs w:val="28"/>
        </w:rPr>
      </w:pPr>
      <w:r w:rsidRPr="000C2573">
        <w:rPr>
          <w:rFonts w:ascii="Times New Roman" w:hAnsi="Times New Roman" w:cs="Times New Roman"/>
          <w:sz w:val="28"/>
          <w:szCs w:val="28"/>
        </w:rPr>
        <w:t>Execution of a single, bounded intervention when—and only when—predefined criteria are met</w:t>
      </w:r>
    </w:p>
    <w:p w14:paraId="515DEE8F"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The AI operates entirely on-device, without cloud connectivity or remote dependency, ensuring low latency, survivability under contested conditions, and resistance to external interference.</w:t>
      </w:r>
    </w:p>
    <w:p w14:paraId="6300660F" w14:textId="77777777" w:rsidR="000C2573" w:rsidRPr="000C2573" w:rsidRDefault="000C2573" w:rsidP="000C2573">
      <w:pPr>
        <w:spacing w:after="0"/>
        <w:rPr>
          <w:rFonts w:ascii="Times New Roman" w:hAnsi="Times New Roman" w:cs="Times New Roman"/>
          <w:sz w:val="28"/>
          <w:szCs w:val="28"/>
        </w:rPr>
      </w:pPr>
    </w:p>
    <w:p w14:paraId="1B95D53E" w14:textId="77777777"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Absence of Government Actuation Control</w:t>
      </w:r>
    </w:p>
    <w:p w14:paraId="515A8BDA" w14:textId="77777777" w:rsidR="000C2573" w:rsidRPr="000C2573" w:rsidRDefault="000C2573" w:rsidP="000C2573">
      <w:pPr>
        <w:spacing w:after="0"/>
        <w:rPr>
          <w:rFonts w:ascii="Times New Roman" w:hAnsi="Times New Roman" w:cs="Times New Roman"/>
          <w:b/>
          <w:bCs/>
          <w:sz w:val="28"/>
          <w:szCs w:val="28"/>
        </w:rPr>
      </w:pPr>
    </w:p>
    <w:p w14:paraId="5E227793" w14:textId="77777777" w:rsidR="000C2573" w:rsidRP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Government or command structures do not possess:</w:t>
      </w:r>
    </w:p>
    <w:p w14:paraId="6B522A40" w14:textId="77777777" w:rsidR="000C2573" w:rsidRPr="000C2573" w:rsidRDefault="000C2573" w:rsidP="000C2573">
      <w:pPr>
        <w:numPr>
          <w:ilvl w:val="0"/>
          <w:numId w:val="28"/>
        </w:numPr>
        <w:spacing w:after="0"/>
        <w:rPr>
          <w:rFonts w:ascii="Times New Roman" w:hAnsi="Times New Roman" w:cs="Times New Roman"/>
          <w:sz w:val="28"/>
          <w:szCs w:val="28"/>
        </w:rPr>
      </w:pPr>
      <w:r w:rsidRPr="000C2573">
        <w:rPr>
          <w:rFonts w:ascii="Times New Roman" w:hAnsi="Times New Roman" w:cs="Times New Roman"/>
          <w:sz w:val="28"/>
          <w:szCs w:val="28"/>
        </w:rPr>
        <w:t>real-time actuation authority</w:t>
      </w:r>
    </w:p>
    <w:p w14:paraId="4A2BD003" w14:textId="77777777" w:rsidR="000C2573" w:rsidRPr="000C2573" w:rsidRDefault="000C2573" w:rsidP="000C2573">
      <w:pPr>
        <w:numPr>
          <w:ilvl w:val="0"/>
          <w:numId w:val="28"/>
        </w:numPr>
        <w:spacing w:after="0"/>
        <w:rPr>
          <w:rFonts w:ascii="Times New Roman" w:hAnsi="Times New Roman" w:cs="Times New Roman"/>
          <w:sz w:val="28"/>
          <w:szCs w:val="28"/>
        </w:rPr>
      </w:pPr>
      <w:r w:rsidRPr="000C2573">
        <w:rPr>
          <w:rFonts w:ascii="Times New Roman" w:hAnsi="Times New Roman" w:cs="Times New Roman"/>
          <w:sz w:val="28"/>
          <w:szCs w:val="28"/>
        </w:rPr>
        <w:t>override capability</w:t>
      </w:r>
    </w:p>
    <w:p w14:paraId="0DD7D930" w14:textId="77777777" w:rsidR="000C2573" w:rsidRPr="000C2573" w:rsidRDefault="000C2573" w:rsidP="000C2573">
      <w:pPr>
        <w:numPr>
          <w:ilvl w:val="0"/>
          <w:numId w:val="28"/>
        </w:numPr>
        <w:spacing w:after="0"/>
        <w:rPr>
          <w:rFonts w:ascii="Times New Roman" w:hAnsi="Times New Roman" w:cs="Times New Roman"/>
          <w:sz w:val="28"/>
          <w:szCs w:val="28"/>
        </w:rPr>
      </w:pPr>
      <w:r w:rsidRPr="000C2573">
        <w:rPr>
          <w:rFonts w:ascii="Times New Roman" w:hAnsi="Times New Roman" w:cs="Times New Roman"/>
          <w:sz w:val="28"/>
          <w:szCs w:val="28"/>
        </w:rPr>
        <w:t>escalation control</w:t>
      </w:r>
    </w:p>
    <w:p w14:paraId="2CB3AE9A" w14:textId="77777777" w:rsidR="000C2573" w:rsidRPr="000C2573" w:rsidRDefault="000C2573" w:rsidP="000C2573">
      <w:pPr>
        <w:numPr>
          <w:ilvl w:val="0"/>
          <w:numId w:val="28"/>
        </w:numPr>
        <w:spacing w:after="0"/>
        <w:rPr>
          <w:rFonts w:ascii="Times New Roman" w:hAnsi="Times New Roman" w:cs="Times New Roman"/>
          <w:sz w:val="28"/>
          <w:szCs w:val="28"/>
        </w:rPr>
      </w:pPr>
      <w:r w:rsidRPr="000C2573">
        <w:rPr>
          <w:rFonts w:ascii="Times New Roman" w:hAnsi="Times New Roman" w:cs="Times New Roman"/>
          <w:sz w:val="28"/>
          <w:szCs w:val="28"/>
        </w:rPr>
        <w:t>dosage adjustment authority</w:t>
      </w:r>
    </w:p>
    <w:p w14:paraId="2A19FE4C" w14:textId="29EA0D54" w:rsidR="000C2573" w:rsidRPr="000C2573" w:rsidRDefault="000C2573" w:rsidP="000C2573">
      <w:pPr>
        <w:numPr>
          <w:ilvl w:val="0"/>
          <w:numId w:val="28"/>
        </w:numPr>
        <w:rPr>
          <w:rFonts w:ascii="Times New Roman" w:hAnsi="Times New Roman" w:cs="Times New Roman"/>
          <w:sz w:val="28"/>
          <w:szCs w:val="28"/>
        </w:rPr>
      </w:pPr>
      <w:r w:rsidRPr="000C2573">
        <w:rPr>
          <w:rFonts w:ascii="Times New Roman" w:hAnsi="Times New Roman" w:cs="Times New Roman"/>
          <w:sz w:val="28"/>
          <w:szCs w:val="28"/>
        </w:rPr>
        <w:t>re-arming capability during operations</w:t>
      </w:r>
    </w:p>
    <w:p w14:paraId="5B40D21C"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Their role is limited to </w:t>
      </w:r>
      <w:r w:rsidRPr="000C2573">
        <w:rPr>
          <w:rFonts w:ascii="Times New Roman" w:hAnsi="Times New Roman" w:cs="Times New Roman"/>
          <w:b/>
          <w:bCs/>
          <w:sz w:val="28"/>
          <w:szCs w:val="28"/>
        </w:rPr>
        <w:t>doctrinal definition, post-event audit, and system disablement outside of combat contexts</w:t>
      </w:r>
      <w:r w:rsidRPr="000C2573">
        <w:rPr>
          <w:rFonts w:ascii="Times New Roman" w:hAnsi="Times New Roman" w:cs="Times New Roman"/>
          <w:sz w:val="28"/>
          <w:szCs w:val="28"/>
        </w:rPr>
        <w:t>. During active engagement, CERBERUS functions as an autonomous, self-contained biological safety system.</w:t>
      </w:r>
    </w:p>
    <w:p w14:paraId="49C0E8CA" w14:textId="77777777" w:rsidR="000C2573" w:rsidRPr="000C2573" w:rsidRDefault="000C2573" w:rsidP="000C2573">
      <w:pPr>
        <w:spacing w:after="0"/>
        <w:rPr>
          <w:rFonts w:ascii="Times New Roman" w:hAnsi="Times New Roman" w:cs="Times New Roman"/>
          <w:sz w:val="28"/>
          <w:szCs w:val="28"/>
        </w:rPr>
      </w:pPr>
    </w:p>
    <w:p w14:paraId="60C95E8D" w14:textId="77777777"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Operator Relationship to Actuation</w:t>
      </w:r>
    </w:p>
    <w:p w14:paraId="4D179BDE" w14:textId="77777777" w:rsidR="000C2573" w:rsidRPr="000C2573" w:rsidRDefault="000C2573" w:rsidP="000C2573">
      <w:pPr>
        <w:spacing w:after="0"/>
        <w:rPr>
          <w:rFonts w:ascii="Times New Roman" w:hAnsi="Times New Roman" w:cs="Times New Roman"/>
          <w:b/>
          <w:bCs/>
          <w:sz w:val="28"/>
          <w:szCs w:val="28"/>
        </w:rPr>
      </w:pPr>
    </w:p>
    <w:p w14:paraId="283D3405" w14:textId="77777777" w:rsidR="000C2573" w:rsidRP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The operator is not required to make moment-to-moment decisions during stress escalation. Instead:</w:t>
      </w:r>
    </w:p>
    <w:p w14:paraId="4F0173C4" w14:textId="77777777" w:rsidR="000C2573" w:rsidRPr="000C2573" w:rsidRDefault="000C2573" w:rsidP="000C2573">
      <w:pPr>
        <w:numPr>
          <w:ilvl w:val="0"/>
          <w:numId w:val="29"/>
        </w:numPr>
        <w:spacing w:after="0"/>
        <w:rPr>
          <w:rFonts w:ascii="Times New Roman" w:hAnsi="Times New Roman" w:cs="Times New Roman"/>
          <w:sz w:val="28"/>
          <w:szCs w:val="28"/>
        </w:rPr>
      </w:pPr>
      <w:r w:rsidRPr="000C2573">
        <w:rPr>
          <w:rFonts w:ascii="Times New Roman" w:hAnsi="Times New Roman" w:cs="Times New Roman"/>
          <w:sz w:val="28"/>
          <w:szCs w:val="28"/>
        </w:rPr>
        <w:t>The operator consents in advance to defined operating conditions</w:t>
      </w:r>
    </w:p>
    <w:p w14:paraId="05C2F8C7" w14:textId="77777777" w:rsidR="000C2573" w:rsidRPr="000C2573" w:rsidRDefault="000C2573" w:rsidP="000C2573">
      <w:pPr>
        <w:numPr>
          <w:ilvl w:val="0"/>
          <w:numId w:val="29"/>
        </w:numPr>
        <w:spacing w:after="0"/>
        <w:rPr>
          <w:rFonts w:ascii="Times New Roman" w:hAnsi="Times New Roman" w:cs="Times New Roman"/>
          <w:sz w:val="28"/>
          <w:szCs w:val="28"/>
        </w:rPr>
      </w:pPr>
      <w:r w:rsidRPr="000C2573">
        <w:rPr>
          <w:rFonts w:ascii="Times New Roman" w:hAnsi="Times New Roman" w:cs="Times New Roman"/>
          <w:sz w:val="28"/>
          <w:szCs w:val="28"/>
        </w:rPr>
        <w:t>The system arms only under explicit, voluntary configuration</w:t>
      </w:r>
    </w:p>
    <w:p w14:paraId="04D7A374" w14:textId="0B5DF9DC" w:rsidR="000C2573" w:rsidRPr="000C2573" w:rsidRDefault="000C2573" w:rsidP="000C2573">
      <w:pPr>
        <w:numPr>
          <w:ilvl w:val="0"/>
          <w:numId w:val="29"/>
        </w:numPr>
        <w:rPr>
          <w:rFonts w:ascii="Times New Roman" w:hAnsi="Times New Roman" w:cs="Times New Roman"/>
          <w:sz w:val="28"/>
          <w:szCs w:val="28"/>
        </w:rPr>
      </w:pPr>
      <w:r w:rsidRPr="000C2573">
        <w:rPr>
          <w:rFonts w:ascii="Times New Roman" w:hAnsi="Times New Roman" w:cs="Times New Roman"/>
          <w:sz w:val="28"/>
          <w:szCs w:val="28"/>
        </w:rPr>
        <w:t>The AI executes within those constraints without requiring conscious input during acute stress</w:t>
      </w:r>
    </w:p>
    <w:p w14:paraId="497E951E"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This design avoids cognitive burden, hesitation, or distraction during combat, while preserving individual agency through pre-authorization and revocability.</w:t>
      </w:r>
    </w:p>
    <w:p w14:paraId="6FC1A9C2" w14:textId="77777777" w:rsidR="000C2573" w:rsidRPr="000C2573" w:rsidRDefault="000C2573" w:rsidP="000C2573">
      <w:pPr>
        <w:spacing w:after="0"/>
        <w:rPr>
          <w:rFonts w:ascii="Times New Roman" w:hAnsi="Times New Roman" w:cs="Times New Roman"/>
          <w:sz w:val="28"/>
          <w:szCs w:val="28"/>
        </w:rPr>
      </w:pPr>
    </w:p>
    <w:p w14:paraId="182B7026" w14:textId="77777777"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t>Negative Capability Boundary</w:t>
      </w:r>
    </w:p>
    <w:p w14:paraId="07243A1D" w14:textId="77777777" w:rsidR="000C2573" w:rsidRPr="000C2573" w:rsidRDefault="000C2573" w:rsidP="000C2573">
      <w:pPr>
        <w:spacing w:after="0"/>
        <w:rPr>
          <w:rFonts w:ascii="Times New Roman" w:hAnsi="Times New Roman" w:cs="Times New Roman"/>
          <w:b/>
          <w:bCs/>
          <w:sz w:val="28"/>
          <w:szCs w:val="28"/>
        </w:rPr>
      </w:pPr>
    </w:p>
    <w:p w14:paraId="557A29E2" w14:textId="77777777" w:rsidR="000C2573" w:rsidRP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The edge-AI system is explicitly prohibited from:</w:t>
      </w:r>
    </w:p>
    <w:p w14:paraId="4AA5B943" w14:textId="029E209B" w:rsidR="000C2573" w:rsidRPr="000C2573" w:rsidRDefault="000C2573" w:rsidP="000C2573">
      <w:pPr>
        <w:numPr>
          <w:ilvl w:val="0"/>
          <w:numId w:val="30"/>
        </w:numPr>
        <w:spacing w:after="0"/>
        <w:rPr>
          <w:rFonts w:ascii="Times New Roman" w:hAnsi="Times New Roman" w:cs="Times New Roman"/>
          <w:sz w:val="28"/>
          <w:szCs w:val="28"/>
        </w:rPr>
      </w:pPr>
      <w:r w:rsidRPr="000C2573">
        <w:rPr>
          <w:rFonts w:ascii="Times New Roman" w:hAnsi="Times New Roman" w:cs="Times New Roman"/>
          <w:sz w:val="28"/>
          <w:szCs w:val="28"/>
        </w:rPr>
        <w:t>optimizing performance</w:t>
      </w:r>
      <w:r>
        <w:rPr>
          <w:rFonts w:ascii="Times New Roman" w:hAnsi="Times New Roman" w:cs="Times New Roman"/>
          <w:sz w:val="28"/>
          <w:szCs w:val="28"/>
        </w:rPr>
        <w:t xml:space="preserve"> beyond escalation states</w:t>
      </w:r>
    </w:p>
    <w:p w14:paraId="52C12A56" w14:textId="77777777" w:rsidR="000C2573" w:rsidRPr="000C2573" w:rsidRDefault="000C2573" w:rsidP="000C2573">
      <w:pPr>
        <w:numPr>
          <w:ilvl w:val="0"/>
          <w:numId w:val="30"/>
        </w:numPr>
        <w:spacing w:after="0"/>
        <w:rPr>
          <w:rFonts w:ascii="Times New Roman" w:hAnsi="Times New Roman" w:cs="Times New Roman"/>
          <w:sz w:val="28"/>
          <w:szCs w:val="28"/>
        </w:rPr>
      </w:pPr>
      <w:r w:rsidRPr="000C2573">
        <w:rPr>
          <w:rFonts w:ascii="Times New Roman" w:hAnsi="Times New Roman" w:cs="Times New Roman"/>
          <w:sz w:val="28"/>
          <w:szCs w:val="28"/>
        </w:rPr>
        <w:t>extending intervention windows</w:t>
      </w:r>
    </w:p>
    <w:p w14:paraId="57820DC4" w14:textId="77777777" w:rsidR="000C2573" w:rsidRPr="000C2573" w:rsidRDefault="000C2573" w:rsidP="000C2573">
      <w:pPr>
        <w:numPr>
          <w:ilvl w:val="0"/>
          <w:numId w:val="30"/>
        </w:numPr>
        <w:spacing w:after="0"/>
        <w:rPr>
          <w:rFonts w:ascii="Times New Roman" w:hAnsi="Times New Roman" w:cs="Times New Roman"/>
          <w:sz w:val="28"/>
          <w:szCs w:val="28"/>
        </w:rPr>
      </w:pPr>
      <w:r w:rsidRPr="000C2573">
        <w:rPr>
          <w:rFonts w:ascii="Times New Roman" w:hAnsi="Times New Roman" w:cs="Times New Roman"/>
          <w:sz w:val="28"/>
          <w:szCs w:val="28"/>
        </w:rPr>
        <w:t>initiating repeated or cumulative dosing outside defined limits</w:t>
      </w:r>
    </w:p>
    <w:p w14:paraId="335700F4" w14:textId="77777777" w:rsidR="000C2573" w:rsidRPr="000C2573" w:rsidRDefault="000C2573" w:rsidP="000C2573">
      <w:pPr>
        <w:numPr>
          <w:ilvl w:val="0"/>
          <w:numId w:val="30"/>
        </w:numPr>
        <w:spacing w:after="0"/>
        <w:rPr>
          <w:rFonts w:ascii="Times New Roman" w:hAnsi="Times New Roman" w:cs="Times New Roman"/>
          <w:sz w:val="28"/>
          <w:szCs w:val="28"/>
        </w:rPr>
      </w:pPr>
      <w:r w:rsidRPr="000C2573">
        <w:rPr>
          <w:rFonts w:ascii="Times New Roman" w:hAnsi="Times New Roman" w:cs="Times New Roman"/>
          <w:sz w:val="28"/>
          <w:szCs w:val="28"/>
        </w:rPr>
        <w:t>adapting strategy across missions</w:t>
      </w:r>
    </w:p>
    <w:p w14:paraId="2BCC67EF" w14:textId="77777777" w:rsidR="000C2573" w:rsidRDefault="000C2573" w:rsidP="000C2573">
      <w:pPr>
        <w:numPr>
          <w:ilvl w:val="0"/>
          <w:numId w:val="30"/>
        </w:numPr>
        <w:spacing w:after="0"/>
        <w:rPr>
          <w:rFonts w:ascii="Times New Roman" w:hAnsi="Times New Roman" w:cs="Times New Roman"/>
          <w:sz w:val="28"/>
          <w:szCs w:val="28"/>
        </w:rPr>
      </w:pPr>
      <w:r w:rsidRPr="000C2573">
        <w:rPr>
          <w:rFonts w:ascii="Times New Roman" w:hAnsi="Times New Roman" w:cs="Times New Roman"/>
          <w:sz w:val="28"/>
          <w:szCs w:val="28"/>
        </w:rPr>
        <w:t>modifying policy during operations</w:t>
      </w:r>
    </w:p>
    <w:p w14:paraId="255972AB" w14:textId="77777777" w:rsidR="000C2573" w:rsidRPr="000C2573" w:rsidRDefault="000C2573" w:rsidP="000C2573">
      <w:pPr>
        <w:spacing w:after="0"/>
        <w:rPr>
          <w:rFonts w:ascii="Times New Roman" w:hAnsi="Times New Roman" w:cs="Times New Roman"/>
          <w:sz w:val="28"/>
          <w:szCs w:val="28"/>
        </w:rPr>
      </w:pPr>
    </w:p>
    <w:p w14:paraId="5BBC06C0" w14:textId="77777777" w:rsidR="000C2573"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Its authority is </w:t>
      </w:r>
      <w:r w:rsidRPr="000C2573">
        <w:rPr>
          <w:rFonts w:ascii="Times New Roman" w:hAnsi="Times New Roman" w:cs="Times New Roman"/>
          <w:b/>
          <w:bCs/>
          <w:sz w:val="28"/>
          <w:szCs w:val="28"/>
        </w:rPr>
        <w:t>purely procedural</w:t>
      </w:r>
      <w:r w:rsidRPr="000C2573">
        <w:rPr>
          <w:rFonts w:ascii="Times New Roman" w:hAnsi="Times New Roman" w:cs="Times New Roman"/>
          <w:sz w:val="28"/>
          <w:szCs w:val="28"/>
        </w:rPr>
        <w:t>, not adaptive or strategic.</w:t>
      </w:r>
    </w:p>
    <w:p w14:paraId="32201AAA" w14:textId="77777777" w:rsidR="000C2573" w:rsidRPr="000C2573" w:rsidRDefault="000C2573" w:rsidP="000C2573">
      <w:pPr>
        <w:spacing w:after="0"/>
        <w:rPr>
          <w:rFonts w:ascii="Times New Roman" w:hAnsi="Times New Roman" w:cs="Times New Roman"/>
          <w:sz w:val="28"/>
          <w:szCs w:val="28"/>
        </w:rPr>
      </w:pPr>
    </w:p>
    <w:p w14:paraId="1510CDE0" w14:textId="40B6C0D9" w:rsidR="000C2573" w:rsidRPr="000C2573" w:rsidRDefault="000C2573" w:rsidP="000C2573">
      <w:pPr>
        <w:spacing w:after="0"/>
        <w:rPr>
          <w:rFonts w:ascii="Times New Roman" w:hAnsi="Times New Roman" w:cs="Times New Roman"/>
          <w:b/>
          <w:bCs/>
          <w:sz w:val="34"/>
          <w:szCs w:val="34"/>
        </w:rPr>
      </w:pPr>
      <w:r w:rsidRPr="000C2573">
        <w:rPr>
          <w:rFonts w:ascii="Times New Roman" w:hAnsi="Times New Roman" w:cs="Times New Roman"/>
          <w:b/>
          <w:bCs/>
          <w:sz w:val="34"/>
          <w:szCs w:val="34"/>
        </w:rPr>
        <w:lastRenderedPageBreak/>
        <w:t>Summary</w:t>
      </w:r>
    </w:p>
    <w:p w14:paraId="76B77A81" w14:textId="77777777" w:rsidR="000C2573" w:rsidRPr="000C2573" w:rsidRDefault="000C2573" w:rsidP="000C2573">
      <w:pPr>
        <w:spacing w:after="0"/>
        <w:rPr>
          <w:rFonts w:ascii="Times New Roman" w:hAnsi="Times New Roman" w:cs="Times New Roman"/>
          <w:b/>
          <w:bCs/>
          <w:sz w:val="28"/>
          <w:szCs w:val="28"/>
        </w:rPr>
      </w:pPr>
    </w:p>
    <w:p w14:paraId="13970A0B" w14:textId="29C63549" w:rsidR="000C2573" w:rsidRPr="009D0FFA" w:rsidRDefault="000C2573" w:rsidP="000C2573">
      <w:pPr>
        <w:spacing w:after="0"/>
        <w:rPr>
          <w:rFonts w:ascii="Times New Roman" w:hAnsi="Times New Roman" w:cs="Times New Roman"/>
          <w:sz w:val="28"/>
          <w:szCs w:val="28"/>
        </w:rPr>
      </w:pPr>
      <w:r w:rsidRPr="000C2573">
        <w:rPr>
          <w:rFonts w:ascii="Times New Roman" w:hAnsi="Times New Roman" w:cs="Times New Roman"/>
          <w:sz w:val="28"/>
          <w:szCs w:val="28"/>
        </w:rPr>
        <w:t xml:space="preserve">Within CERBERUS, </w:t>
      </w:r>
      <w:r w:rsidRPr="000C2573">
        <w:rPr>
          <w:rFonts w:ascii="Times New Roman" w:hAnsi="Times New Roman" w:cs="Times New Roman"/>
          <w:b/>
          <w:bCs/>
          <w:sz w:val="28"/>
          <w:szCs w:val="28"/>
        </w:rPr>
        <w:t>biology is not governed by command</w:t>
      </w:r>
      <w:r w:rsidRPr="000C2573">
        <w:rPr>
          <w:rFonts w:ascii="Times New Roman" w:hAnsi="Times New Roman" w:cs="Times New Roman"/>
          <w:sz w:val="28"/>
          <w:szCs w:val="28"/>
        </w:rPr>
        <w:t xml:space="preserve">, and </w:t>
      </w:r>
      <w:r w:rsidRPr="000C2573">
        <w:rPr>
          <w:rFonts w:ascii="Times New Roman" w:hAnsi="Times New Roman" w:cs="Times New Roman"/>
          <w:b/>
          <w:bCs/>
          <w:sz w:val="28"/>
          <w:szCs w:val="28"/>
        </w:rPr>
        <w:t>command does not touch biology in real time</w:t>
      </w:r>
      <w:r w:rsidRPr="000C2573">
        <w:rPr>
          <w:rFonts w:ascii="Times New Roman" w:hAnsi="Times New Roman" w:cs="Times New Roman"/>
          <w:sz w:val="28"/>
          <w:szCs w:val="28"/>
        </w:rPr>
        <w:t>. Acute peptide administration is executed locally by an autonomous edge-AI system operating under rigid, pre-defined constraints authorized by the operator. This architecture preserves operational autonomy, prevents coercive use, and ensures that biological intervention remains event-limited, non-escalatory, and non-optimizing by design.</w:t>
      </w:r>
    </w:p>
    <w:p w14:paraId="3B42A4CE" w14:textId="77777777" w:rsidR="009D0FFA" w:rsidRPr="009D0FFA" w:rsidRDefault="009D0FFA" w:rsidP="009D0FFA">
      <w:pPr>
        <w:pBdr>
          <w:bottom w:val="single" w:sz="4" w:space="1" w:color="auto"/>
        </w:pBdr>
        <w:rPr>
          <w:rFonts w:ascii="Times New Roman" w:hAnsi="Times New Roman" w:cs="Times New Roman"/>
          <w:sz w:val="28"/>
          <w:szCs w:val="28"/>
        </w:rPr>
      </w:pPr>
    </w:p>
    <w:p w14:paraId="1A982B49" w14:textId="2D633E92" w:rsidR="009D0FFA" w:rsidRPr="009D0FFA" w:rsidRDefault="009D0FFA" w:rsidP="009D0FFA">
      <w:pPr>
        <w:spacing w:before="240"/>
        <w:rPr>
          <w:rFonts w:ascii="Times New Roman" w:hAnsi="Times New Roman" w:cs="Times New Roman"/>
          <w:b/>
          <w:bCs/>
          <w:sz w:val="34"/>
          <w:szCs w:val="34"/>
        </w:rPr>
      </w:pPr>
      <w:r w:rsidRPr="009D0FFA">
        <w:rPr>
          <w:rFonts w:ascii="Times New Roman" w:hAnsi="Times New Roman" w:cs="Times New Roman"/>
          <w:b/>
          <w:bCs/>
          <w:sz w:val="34"/>
          <w:szCs w:val="34"/>
        </w:rPr>
        <w:t>2. Peptide Pharmacology: Molecular Mechanisms Exhaustively Elaborated</w:t>
      </w:r>
    </w:p>
    <w:p w14:paraId="5AC13E20"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Interpretive Boundary (Applies to §2.1–2.2)</w:t>
      </w:r>
    </w:p>
    <w:p w14:paraId="42792AB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All mechanisms described represent </w:t>
      </w:r>
      <w:r w:rsidRPr="009D0FFA">
        <w:rPr>
          <w:rFonts w:ascii="Times New Roman" w:hAnsi="Times New Roman" w:cs="Times New Roman"/>
          <w:b/>
          <w:bCs/>
          <w:sz w:val="28"/>
          <w:szCs w:val="28"/>
        </w:rPr>
        <w:t>plausible neuroprotective and reparative pathways</w:t>
      </w:r>
      <w:r w:rsidRPr="009D0FFA">
        <w:rPr>
          <w:rFonts w:ascii="Times New Roman" w:hAnsi="Times New Roman" w:cs="Times New Roman"/>
          <w:sz w:val="28"/>
          <w:szCs w:val="28"/>
        </w:rPr>
        <w:t xml:space="preserve"> supported by preclinical literature. Their inclusion does </w:t>
      </w:r>
      <w:r w:rsidRPr="009D0FFA">
        <w:rPr>
          <w:rFonts w:ascii="Times New Roman" w:hAnsi="Times New Roman" w:cs="Times New Roman"/>
          <w:b/>
          <w:bCs/>
          <w:sz w:val="28"/>
          <w:szCs w:val="28"/>
        </w:rPr>
        <w:t>not</w:t>
      </w:r>
      <w:r w:rsidRPr="009D0FFA">
        <w:rPr>
          <w:rFonts w:ascii="Times New Roman" w:hAnsi="Times New Roman" w:cs="Times New Roman"/>
          <w:sz w:val="28"/>
          <w:szCs w:val="28"/>
        </w:rPr>
        <w:t xml:space="preserve"> imply guaranteed benefit, behavioral modulation, cognitive alteration, or therapeutic sufficiency.</w:t>
      </w:r>
    </w:p>
    <w:p w14:paraId="6E176566" w14:textId="6CBD9D89" w:rsid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Within </w:t>
      </w:r>
      <w:r w:rsidRPr="009D0FFA">
        <w:rPr>
          <w:rFonts w:ascii="Times New Roman" w:hAnsi="Times New Roman" w:cs="Times New Roman"/>
          <w:b/>
          <w:bCs/>
          <w:sz w:val="28"/>
          <w:szCs w:val="28"/>
        </w:rPr>
        <w:t>CERBERUS</w:t>
      </w:r>
      <w:r w:rsidRPr="009D0FFA">
        <w:rPr>
          <w:rFonts w:ascii="Times New Roman" w:hAnsi="Times New Roman" w:cs="Times New Roman"/>
          <w:sz w:val="28"/>
          <w:szCs w:val="28"/>
        </w:rPr>
        <w:t xml:space="preserve">, these mechanisms are leveraged </w:t>
      </w:r>
      <w:r w:rsidRPr="009D0FFA">
        <w:rPr>
          <w:rFonts w:ascii="Times New Roman" w:hAnsi="Times New Roman" w:cs="Times New Roman"/>
          <w:b/>
          <w:bCs/>
          <w:sz w:val="28"/>
          <w:szCs w:val="28"/>
        </w:rPr>
        <w:t>exclusively as acute biological buffering processes</w:t>
      </w:r>
      <w:r w:rsidRPr="009D0FFA">
        <w:rPr>
          <w:rFonts w:ascii="Times New Roman" w:hAnsi="Times New Roman" w:cs="Times New Roman"/>
          <w:sz w:val="28"/>
          <w:szCs w:val="28"/>
        </w:rPr>
        <w:t>, analogous to physiological first aid, intended to attenuate secondary injury during extreme stress escalation. They are not intended for chronic modulation, performance enhancement, or behavioral conditioning.</w:t>
      </w:r>
    </w:p>
    <w:p w14:paraId="31F3D6D8" w14:textId="3DBDFEA5" w:rsidR="00940671" w:rsidRPr="009D0FFA" w:rsidRDefault="00940671" w:rsidP="009D0FFA">
      <w:pPr>
        <w:rPr>
          <w:rFonts w:ascii="Times New Roman" w:hAnsi="Times New Roman" w:cs="Times New Roman"/>
          <w:sz w:val="28"/>
          <w:szCs w:val="28"/>
        </w:rPr>
      </w:pPr>
      <w:r w:rsidRPr="00940671">
        <w:rPr>
          <w:rFonts w:ascii="Times New Roman" w:hAnsi="Times New Roman" w:cs="Times New Roman"/>
          <w:sz w:val="28"/>
          <w:szCs w:val="28"/>
        </w:rPr>
        <w:t xml:space="preserve">In addition to psychophysiological buffering, acute combat scenarios frequently impose extreme mechanical loads resulting in microtrauma to muscle, tendon, ligament, and cartilage. While CERBERUS is not designed to enhance physical performance, reduce fatigue, or extend operational output, transient biological buffering during or immediately following </w:t>
      </w:r>
      <w:r>
        <w:rPr>
          <w:rFonts w:ascii="Times New Roman" w:hAnsi="Times New Roman" w:cs="Times New Roman"/>
          <w:sz w:val="28"/>
          <w:szCs w:val="28"/>
        </w:rPr>
        <w:t>high stress combat</w:t>
      </w:r>
      <w:r w:rsidRPr="00940671">
        <w:rPr>
          <w:rFonts w:ascii="Times New Roman" w:hAnsi="Times New Roman" w:cs="Times New Roman"/>
          <w:sz w:val="28"/>
          <w:szCs w:val="28"/>
        </w:rPr>
        <w:t xml:space="preserve"> exposure may </w:t>
      </w:r>
      <w:r w:rsidRPr="00940671">
        <w:rPr>
          <w:rFonts w:ascii="Times New Roman" w:hAnsi="Times New Roman" w:cs="Times New Roman"/>
          <w:i/>
          <w:iCs/>
          <w:sz w:val="28"/>
          <w:szCs w:val="28"/>
        </w:rPr>
        <w:t>plausibly</w:t>
      </w:r>
      <w:r w:rsidRPr="00940671">
        <w:rPr>
          <w:rFonts w:ascii="Times New Roman" w:hAnsi="Times New Roman" w:cs="Times New Roman"/>
          <w:sz w:val="28"/>
          <w:szCs w:val="28"/>
        </w:rPr>
        <w:t xml:space="preserve"> reduce secondary tissue injury </w:t>
      </w:r>
      <w:r>
        <w:rPr>
          <w:rFonts w:ascii="Times New Roman" w:hAnsi="Times New Roman" w:cs="Times New Roman"/>
          <w:sz w:val="28"/>
          <w:szCs w:val="28"/>
        </w:rPr>
        <w:t xml:space="preserve">(musculoskeletal) </w:t>
      </w:r>
      <w:r w:rsidRPr="00940671">
        <w:rPr>
          <w:rFonts w:ascii="Times New Roman" w:hAnsi="Times New Roman" w:cs="Times New Roman"/>
          <w:sz w:val="28"/>
          <w:szCs w:val="28"/>
        </w:rPr>
        <w:t xml:space="preserve">and </w:t>
      </w:r>
      <w:r w:rsidRPr="00940671">
        <w:rPr>
          <w:rFonts w:ascii="Times New Roman" w:hAnsi="Times New Roman" w:cs="Times New Roman"/>
          <w:i/>
          <w:iCs/>
          <w:sz w:val="28"/>
          <w:szCs w:val="28"/>
        </w:rPr>
        <w:t>accelerate</w:t>
      </w:r>
      <w:r w:rsidRPr="00940671">
        <w:rPr>
          <w:rFonts w:ascii="Times New Roman" w:hAnsi="Times New Roman" w:cs="Times New Roman"/>
          <w:sz w:val="28"/>
          <w:szCs w:val="28"/>
        </w:rPr>
        <w:t xml:space="preserve"> return to baseline structural integrity once standard medical care becomes available.</w:t>
      </w:r>
      <w:r>
        <w:rPr>
          <w:rFonts w:ascii="Times New Roman" w:hAnsi="Times New Roman" w:cs="Times New Roman"/>
          <w:sz w:val="28"/>
          <w:szCs w:val="28"/>
        </w:rPr>
        <w:t xml:space="preserve"> To clarify in</w:t>
      </w:r>
      <w:r w:rsidRPr="00940671">
        <w:rPr>
          <w:rFonts w:ascii="Times New Roman" w:hAnsi="Times New Roman" w:cs="Times New Roman"/>
          <w:sz w:val="28"/>
          <w:szCs w:val="28"/>
        </w:rPr>
        <w:t xml:space="preserve"> operational terms, CERBERUS is designed to reduce the physiological cost of repeated sprinting, load-bearing locomotion, rapid directional changes, and close-quarters physical engagement by attenuating microvascular disruption, </w:t>
      </w:r>
      <w:r w:rsidRPr="00940671">
        <w:rPr>
          <w:rFonts w:ascii="Times New Roman" w:hAnsi="Times New Roman" w:cs="Times New Roman"/>
          <w:sz w:val="28"/>
          <w:szCs w:val="28"/>
        </w:rPr>
        <w:lastRenderedPageBreak/>
        <w:t>inflammatory amplification, and connective-tissue microdamage that otherwise accumulate during high-frequency combat movement.</w:t>
      </w:r>
    </w:p>
    <w:p w14:paraId="572BF391" w14:textId="77777777" w:rsid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 xml:space="preserve">2.1 BPC-157: Pleiotropic Gastric </w:t>
      </w:r>
      <w:proofErr w:type="spellStart"/>
      <w:r w:rsidRPr="00940671">
        <w:rPr>
          <w:rFonts w:ascii="Times New Roman" w:hAnsi="Times New Roman" w:cs="Times New Roman"/>
          <w:b/>
          <w:bCs/>
          <w:sz w:val="34"/>
          <w:szCs w:val="34"/>
        </w:rPr>
        <w:t>Pentadecapeptide</w:t>
      </w:r>
      <w:proofErr w:type="spellEnd"/>
      <w:r w:rsidRPr="00940671">
        <w:rPr>
          <w:rFonts w:ascii="Times New Roman" w:hAnsi="Times New Roman" w:cs="Times New Roman"/>
          <w:b/>
          <w:bCs/>
          <w:sz w:val="34"/>
          <w:szCs w:val="34"/>
        </w:rPr>
        <w:t xml:space="preserve"> </w:t>
      </w:r>
    </w:p>
    <w:p w14:paraId="6B81264F" w14:textId="4A79FE26"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(Augmented) Primary Structure &amp; Stability</w:t>
      </w:r>
      <w:r w:rsidRPr="00940671">
        <w:rPr>
          <w:rFonts w:ascii="Times New Roman" w:hAnsi="Times New Roman" w:cs="Times New Roman"/>
          <w:sz w:val="28"/>
          <w:szCs w:val="28"/>
        </w:rPr>
        <w:br/>
        <w:t xml:space="preserve">Gly-Glu-Pro-Pro-Pro-Gly-Lys-Pro-Ala-Asp-Asp-Ala-Gly-Leu-Val (MW 1419 Da). Four carboxyl residues confer reactive oxygen species (ROS) scavenging capacity (glutathione-reactivated antioxidant activity exceeding ascorbate). The peptide is pH-stable (1–14), protease-resistant, and exhibits favorable subcutaneous pharmacokinetics: </w:t>
      </w:r>
      <w:proofErr w:type="spellStart"/>
      <w:r w:rsidRPr="00940671">
        <w:rPr>
          <w:rFonts w:ascii="Times New Roman" w:hAnsi="Times New Roman" w:cs="Times New Roman"/>
          <w:sz w:val="28"/>
          <w:szCs w:val="28"/>
        </w:rPr>
        <w:t>C_max</w:t>
      </w:r>
      <w:proofErr w:type="spellEnd"/>
      <w:r w:rsidRPr="00940671">
        <w:rPr>
          <w:rFonts w:ascii="Times New Roman" w:hAnsi="Times New Roman" w:cs="Times New Roman"/>
          <w:sz w:val="28"/>
          <w:szCs w:val="28"/>
        </w:rPr>
        <w:t xml:space="preserve"> 15–25 ng·mL⁻¹ at ~30 minutes, elimination half-life 4.2 ± 0.8 hours, clearance 0.15 L·h⁻¹·kg⁻¹, and volume of distribution 0.21 L·kg⁻¹ (rat–human scaling).</w:t>
      </w:r>
    </w:p>
    <w:p w14:paraId="54A79072" w14:textId="35BB1EA9"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 xml:space="preserve">Core Mechanisms (Trauma / </w:t>
      </w:r>
      <w:r>
        <w:rPr>
          <w:rFonts w:ascii="Times New Roman" w:hAnsi="Times New Roman" w:cs="Times New Roman"/>
          <w:b/>
          <w:bCs/>
          <w:sz w:val="34"/>
          <w:szCs w:val="34"/>
        </w:rPr>
        <w:t xml:space="preserve">Combat </w:t>
      </w:r>
      <w:r w:rsidRPr="00940671">
        <w:rPr>
          <w:rFonts w:ascii="Times New Roman" w:hAnsi="Times New Roman" w:cs="Times New Roman"/>
          <w:b/>
          <w:bCs/>
          <w:sz w:val="34"/>
          <w:szCs w:val="34"/>
        </w:rPr>
        <w:t>Stress Contexts)</w:t>
      </w:r>
    </w:p>
    <w:p w14:paraId="3B5D470C"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Dopaminergic stabilization: Counteracts 6-OHDA and MPTP-induced nigrostriatal injury (TH⁺ neuron survival ↑ ~65%), reverses haloperidol-induced catalepsy (akinesia ↓ ~80%), and normalizes amphetamine-induced hyperlocomotion. Restores vesicular dopamine handling via VMAT2 upregulation; supports post-ischemic striatal dopamine normalization through COMT and MAO-A inhibition (</w:t>
      </w:r>
      <w:proofErr w:type="spellStart"/>
      <w:r w:rsidRPr="00940671">
        <w:rPr>
          <w:rFonts w:ascii="Times New Roman" w:hAnsi="Times New Roman" w:cs="Times New Roman"/>
          <w:sz w:val="28"/>
          <w:szCs w:val="28"/>
        </w:rPr>
        <w:t>K_i</w:t>
      </w:r>
      <w:proofErr w:type="spellEnd"/>
      <w:r w:rsidRPr="00940671">
        <w:rPr>
          <w:rFonts w:ascii="Times New Roman" w:hAnsi="Times New Roman" w:cs="Times New Roman"/>
          <w:sz w:val="28"/>
          <w:szCs w:val="28"/>
        </w:rPr>
        <w:t xml:space="preserve"> ~</w:t>
      </w:r>
      <w:proofErr w:type="spellStart"/>
      <w:r w:rsidRPr="00940671">
        <w:rPr>
          <w:rFonts w:ascii="Times New Roman" w:hAnsi="Times New Roman" w:cs="Times New Roman"/>
          <w:sz w:val="28"/>
          <w:szCs w:val="28"/>
        </w:rPr>
        <w:t>nM</w:t>
      </w:r>
      <w:proofErr w:type="spellEnd"/>
      <w:r w:rsidRPr="00940671">
        <w:rPr>
          <w:rFonts w:ascii="Times New Roman" w:hAnsi="Times New Roman" w:cs="Times New Roman"/>
          <w:sz w:val="28"/>
          <w:szCs w:val="28"/>
        </w:rPr>
        <w:t>).</w:t>
      </w:r>
    </w:p>
    <w:p w14:paraId="047B64D7"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xml:space="preserve">• Nitric-oxide system modulation: Activates </w:t>
      </w:r>
      <w:proofErr w:type="spellStart"/>
      <w:r w:rsidRPr="00940671">
        <w:rPr>
          <w:rFonts w:ascii="Times New Roman" w:hAnsi="Times New Roman" w:cs="Times New Roman"/>
          <w:sz w:val="28"/>
          <w:szCs w:val="28"/>
        </w:rPr>
        <w:t>Src</w:t>
      </w:r>
      <w:proofErr w:type="spellEnd"/>
      <w:r w:rsidRPr="00940671">
        <w:rPr>
          <w:rFonts w:ascii="Times New Roman" w:hAnsi="Times New Roman" w:cs="Times New Roman"/>
          <w:sz w:val="28"/>
          <w:szCs w:val="28"/>
        </w:rPr>
        <w:t>/Cav-1/</w:t>
      </w:r>
      <w:proofErr w:type="spellStart"/>
      <w:r w:rsidRPr="00940671">
        <w:rPr>
          <w:rFonts w:ascii="Times New Roman" w:hAnsi="Times New Roman" w:cs="Times New Roman"/>
          <w:sz w:val="28"/>
          <w:szCs w:val="28"/>
        </w:rPr>
        <w:t>eNOS</w:t>
      </w:r>
      <w:proofErr w:type="spellEnd"/>
      <w:r w:rsidRPr="00940671">
        <w:rPr>
          <w:rFonts w:ascii="Times New Roman" w:hAnsi="Times New Roman" w:cs="Times New Roman"/>
          <w:sz w:val="28"/>
          <w:szCs w:val="28"/>
        </w:rPr>
        <w:t xml:space="preserve"> signaling (phospho-Y416-Src ↑ ~2.3× at ~15 minutes; Cav-1 dissociation enabling </w:t>
      </w:r>
      <w:proofErr w:type="spellStart"/>
      <w:r w:rsidRPr="00940671">
        <w:rPr>
          <w:rFonts w:ascii="Times New Roman" w:hAnsi="Times New Roman" w:cs="Times New Roman"/>
          <w:sz w:val="28"/>
          <w:szCs w:val="28"/>
        </w:rPr>
        <w:t>eNOS</w:t>
      </w:r>
      <w:proofErr w:type="spellEnd"/>
      <w:r w:rsidRPr="00940671">
        <w:rPr>
          <w:rFonts w:ascii="Times New Roman" w:hAnsi="Times New Roman" w:cs="Times New Roman"/>
          <w:sz w:val="28"/>
          <w:szCs w:val="28"/>
        </w:rPr>
        <w:t xml:space="preserve"> uncaging), producing transient nitric-oxide increases (150–300% baseline). Concurrently attenuates </w:t>
      </w:r>
      <w:proofErr w:type="spellStart"/>
      <w:r w:rsidRPr="00940671">
        <w:rPr>
          <w:rFonts w:ascii="Times New Roman" w:hAnsi="Times New Roman" w:cs="Times New Roman"/>
          <w:sz w:val="28"/>
          <w:szCs w:val="28"/>
        </w:rPr>
        <w:t>iNOS</w:t>
      </w:r>
      <w:proofErr w:type="spellEnd"/>
      <w:r w:rsidRPr="00940671">
        <w:rPr>
          <w:rFonts w:ascii="Times New Roman" w:hAnsi="Times New Roman" w:cs="Times New Roman"/>
          <w:sz w:val="28"/>
          <w:szCs w:val="28"/>
        </w:rPr>
        <w:t>/Nos2 via NF-</w:t>
      </w:r>
      <w:proofErr w:type="spellStart"/>
      <w:r w:rsidRPr="00940671">
        <w:rPr>
          <w:rFonts w:ascii="Times New Roman" w:hAnsi="Times New Roman" w:cs="Times New Roman"/>
          <w:sz w:val="28"/>
          <w:szCs w:val="28"/>
        </w:rPr>
        <w:t>κB</w:t>
      </w:r>
      <w:proofErr w:type="spellEnd"/>
      <w:r w:rsidRPr="00940671">
        <w:rPr>
          <w:rFonts w:ascii="Times New Roman" w:hAnsi="Times New Roman" w:cs="Times New Roman"/>
          <w:sz w:val="28"/>
          <w:szCs w:val="28"/>
        </w:rPr>
        <w:t xml:space="preserve"> p65 suppression (~60% reduction), preserving microvascular integrity. Coordinated Egr1/Akt1/Kras transcriptional responses are observed within 3–12 hours post-trauma analog.</w:t>
      </w:r>
    </w:p>
    <w:p w14:paraId="0CD8388B"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xml:space="preserve">• Neurotrophic cascade: Induces BDNF, NGF, and </w:t>
      </w:r>
      <w:proofErr w:type="spellStart"/>
      <w:r w:rsidRPr="00940671">
        <w:rPr>
          <w:rFonts w:ascii="Times New Roman" w:hAnsi="Times New Roman" w:cs="Times New Roman"/>
          <w:sz w:val="28"/>
          <w:szCs w:val="28"/>
        </w:rPr>
        <w:t>TrkB</w:t>
      </w:r>
      <w:proofErr w:type="spellEnd"/>
      <w:r w:rsidRPr="00940671">
        <w:rPr>
          <w:rFonts w:ascii="Times New Roman" w:hAnsi="Times New Roman" w:cs="Times New Roman"/>
          <w:sz w:val="28"/>
          <w:szCs w:val="28"/>
        </w:rPr>
        <w:t xml:space="preserve"> upregulation 48–72 hours post-injury analog, supporting axonal sprouting and reducing apoptotic signaling (caspase-3 ↓ ~70%), with corresponding fractional anisotropy recovery on diffusion imaging.</w:t>
      </w:r>
    </w:p>
    <w:p w14:paraId="5DFDD4F5"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xml:space="preserve">• Serotonergic resilience: Normalizes hippocampal 5-HT signaling following chronic stress exposure (forced-swim immobility ↓ ~52%; elevated-plus-maze </w:t>
      </w:r>
      <w:r w:rsidRPr="00940671">
        <w:rPr>
          <w:rFonts w:ascii="Times New Roman" w:hAnsi="Times New Roman" w:cs="Times New Roman"/>
          <w:sz w:val="28"/>
          <w:szCs w:val="28"/>
        </w:rPr>
        <w:lastRenderedPageBreak/>
        <w:t xml:space="preserve">open-arm time ↑ ~40%), and mitigates SSRI withdrawal effects via 5-HT₁A </w:t>
      </w:r>
      <w:proofErr w:type="spellStart"/>
      <w:r w:rsidRPr="00940671">
        <w:rPr>
          <w:rFonts w:ascii="Times New Roman" w:hAnsi="Times New Roman" w:cs="Times New Roman"/>
          <w:sz w:val="28"/>
          <w:szCs w:val="28"/>
        </w:rPr>
        <w:t>autoreceptor</w:t>
      </w:r>
      <w:proofErr w:type="spellEnd"/>
      <w:r w:rsidRPr="00940671">
        <w:rPr>
          <w:rFonts w:ascii="Times New Roman" w:hAnsi="Times New Roman" w:cs="Times New Roman"/>
          <w:sz w:val="28"/>
          <w:szCs w:val="28"/>
        </w:rPr>
        <w:t xml:space="preserve"> desensitization without tolerance development.</w:t>
      </w:r>
    </w:p>
    <w:p w14:paraId="6DDF9823"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Gut–brain axis stabilization: Preserves vagal efferent signaling and mitigates NSAID- or SSRI-associated enteric injury, reducing secondary neuroimmune spillover during systemic stress.</w:t>
      </w:r>
    </w:p>
    <w:p w14:paraId="35DC6E74" w14:textId="6A31359D"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Peripheral Tissue Injury Buffering</w:t>
      </w:r>
    </w:p>
    <w:p w14:paraId="648615CE"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b/>
          <w:bCs/>
          <w:sz w:val="28"/>
          <w:szCs w:val="28"/>
        </w:rPr>
        <w:t xml:space="preserve">• </w:t>
      </w:r>
      <w:r w:rsidRPr="00940671">
        <w:rPr>
          <w:rFonts w:ascii="Times New Roman" w:hAnsi="Times New Roman" w:cs="Times New Roman"/>
          <w:sz w:val="28"/>
          <w:szCs w:val="28"/>
        </w:rPr>
        <w:t xml:space="preserve">Microvascular and angiogenic support: </w:t>
      </w:r>
      <w:proofErr w:type="spellStart"/>
      <w:r w:rsidRPr="00940671">
        <w:rPr>
          <w:rFonts w:ascii="Times New Roman" w:hAnsi="Times New Roman" w:cs="Times New Roman"/>
          <w:sz w:val="28"/>
          <w:szCs w:val="28"/>
        </w:rPr>
        <w:t>eNOS</w:t>
      </w:r>
      <w:proofErr w:type="spellEnd"/>
      <w:r w:rsidRPr="00940671">
        <w:rPr>
          <w:rFonts w:ascii="Times New Roman" w:hAnsi="Times New Roman" w:cs="Times New Roman"/>
          <w:sz w:val="28"/>
          <w:szCs w:val="28"/>
        </w:rPr>
        <w:t>-mediated nitric-oxide signaling enhances capillary perfusion and endothelial resilience in mechanically stressed tissues, supporting oxygen and nutrient delivery during post-load recovery without inducing hyperemia or performance amplification.</w:t>
      </w:r>
    </w:p>
    <w:p w14:paraId="06FF6C7C"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Tendon and ligament collagen organization: Preclinical models associate BPC-157 exposure with improved collagen fiber alignment, enhanced tendon-to-bone interface integrity, and accelerated resolution of load-induced microtears, consistent with reduced secondary connective-tissue injury amplification.</w:t>
      </w:r>
    </w:p>
    <w:p w14:paraId="0FF19310"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Joint and cartilage protection: Anti-inflammatory modulation (NF-</w:t>
      </w:r>
      <w:proofErr w:type="spellStart"/>
      <w:r w:rsidRPr="00940671">
        <w:rPr>
          <w:rFonts w:ascii="Times New Roman" w:hAnsi="Times New Roman" w:cs="Times New Roman"/>
          <w:sz w:val="28"/>
          <w:szCs w:val="28"/>
        </w:rPr>
        <w:t>κB</w:t>
      </w:r>
      <w:proofErr w:type="spellEnd"/>
      <w:r w:rsidRPr="00940671">
        <w:rPr>
          <w:rFonts w:ascii="Times New Roman" w:hAnsi="Times New Roman" w:cs="Times New Roman"/>
          <w:sz w:val="28"/>
          <w:szCs w:val="28"/>
        </w:rPr>
        <w:t xml:space="preserve"> attenuation, reduced </w:t>
      </w:r>
      <w:proofErr w:type="spellStart"/>
      <w:r w:rsidRPr="00940671">
        <w:rPr>
          <w:rFonts w:ascii="Times New Roman" w:hAnsi="Times New Roman" w:cs="Times New Roman"/>
          <w:sz w:val="28"/>
          <w:szCs w:val="28"/>
        </w:rPr>
        <w:t>iNOS</w:t>
      </w:r>
      <w:proofErr w:type="spellEnd"/>
      <w:r w:rsidRPr="00940671">
        <w:rPr>
          <w:rFonts w:ascii="Times New Roman" w:hAnsi="Times New Roman" w:cs="Times New Roman"/>
          <w:sz w:val="28"/>
          <w:szCs w:val="28"/>
        </w:rPr>
        <w:t xml:space="preserve"> activity) is associated with preservation of chondrocyte viability and reduced cartilage degradation signaling following mechanical or inflammatory insult.</w:t>
      </w:r>
    </w:p>
    <w:p w14:paraId="60EC7429" w14:textId="77777777" w:rsid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Adult Scaling Context</w:t>
      </w:r>
    </w:p>
    <w:p w14:paraId="38A2C6E0" w14:textId="413990BF"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xml:space="preserve">Dose-exposure relationships are interpreted using adult allometric scaling, targeting low-nanogram per milliliter plasma concentrations within established safety margins. Microneedle-mediated dermal delivery using a methylcellulose depot matrix (MW ~17 </w:t>
      </w:r>
      <w:proofErr w:type="spellStart"/>
      <w:r w:rsidRPr="00940671">
        <w:rPr>
          <w:rFonts w:ascii="Times New Roman" w:hAnsi="Times New Roman" w:cs="Times New Roman"/>
          <w:sz w:val="28"/>
          <w:szCs w:val="28"/>
        </w:rPr>
        <w:t>kDa</w:t>
      </w:r>
      <w:proofErr w:type="spellEnd"/>
      <w:r w:rsidRPr="00940671">
        <w:rPr>
          <w:rFonts w:ascii="Times New Roman" w:hAnsi="Times New Roman" w:cs="Times New Roman"/>
          <w:sz w:val="28"/>
          <w:szCs w:val="28"/>
        </w:rPr>
        <w:t>) extends the apparent exposure window to approximately 8–12 hours, reflecting absorption-limited release rather than altered systemic clearance.</w:t>
      </w:r>
    </w:p>
    <w:p w14:paraId="57B4498E" w14:textId="77777777"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 xml:space="preserve">2.2 Thymosin β4 (TB-500 Fragment): Actin Dynamics &amp; Epigenetic </w:t>
      </w:r>
      <w:proofErr w:type="spellStart"/>
      <w:r w:rsidRPr="00940671">
        <w:rPr>
          <w:rFonts w:ascii="Times New Roman" w:hAnsi="Times New Roman" w:cs="Times New Roman"/>
          <w:b/>
          <w:bCs/>
          <w:sz w:val="34"/>
          <w:szCs w:val="34"/>
        </w:rPr>
        <w:t>Neurorestoration</w:t>
      </w:r>
      <w:proofErr w:type="spellEnd"/>
      <w:r w:rsidRPr="00940671">
        <w:rPr>
          <w:rFonts w:ascii="Times New Roman" w:hAnsi="Times New Roman" w:cs="Times New Roman"/>
          <w:b/>
          <w:bCs/>
          <w:sz w:val="34"/>
          <w:szCs w:val="34"/>
        </w:rPr>
        <w:t xml:space="preserve"> (Augmented)</w:t>
      </w:r>
    </w:p>
    <w:p w14:paraId="123FEEF3" w14:textId="4517DCA8" w:rsidR="00940671" w:rsidRDefault="00940671" w:rsidP="00940671">
      <w:pPr>
        <w:rPr>
          <w:rFonts w:ascii="Times New Roman" w:hAnsi="Times New Roman" w:cs="Times New Roman"/>
          <w:sz w:val="28"/>
          <w:szCs w:val="28"/>
        </w:rPr>
      </w:pPr>
      <w:r w:rsidRPr="00940671">
        <w:rPr>
          <w:rFonts w:ascii="Times New Roman" w:hAnsi="Times New Roman" w:cs="Times New Roman"/>
          <w:b/>
          <w:bCs/>
          <w:sz w:val="34"/>
          <w:szCs w:val="34"/>
        </w:rPr>
        <w:t>Structure &amp; Fragments</w:t>
      </w:r>
    </w:p>
    <w:p w14:paraId="3A769FAF" w14:textId="39BE9F11"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sz w:val="28"/>
          <w:szCs w:val="28"/>
        </w:rPr>
        <w:lastRenderedPageBreak/>
        <w:t>Ac-SDKPDMAEIEKFDKSKLKKTETQEKNPLPSKETIEQEKQAGES (MW 4963 Da). The TB-500 actin-binding motif (LKKTETQ; residues 17–23) exhibits moderate affinity for G-actin (</w:t>
      </w:r>
      <w:proofErr w:type="spellStart"/>
      <w:r w:rsidRPr="00940671">
        <w:rPr>
          <w:rFonts w:ascii="Times New Roman" w:hAnsi="Times New Roman" w:cs="Times New Roman"/>
          <w:sz w:val="28"/>
          <w:szCs w:val="28"/>
        </w:rPr>
        <w:t>K_d</w:t>
      </w:r>
      <w:proofErr w:type="spellEnd"/>
      <w:r w:rsidRPr="00940671">
        <w:rPr>
          <w:rFonts w:ascii="Times New Roman" w:hAnsi="Times New Roman" w:cs="Times New Roman"/>
          <w:sz w:val="28"/>
          <w:szCs w:val="28"/>
        </w:rPr>
        <w:t xml:space="preserve"> ≈ 0.4 µM). Subcutaneous half-life is approximately 2.1 ± 0.6 hours, with bioavailability estimated at 70–85%. Blood–brain barrier access is supported via Ang1/Tie2-mediated transport mechanisms.</w:t>
      </w:r>
    </w:p>
    <w:p w14:paraId="73D8C0E8" w14:textId="77777777"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Signaling Dissection</w:t>
      </w:r>
    </w:p>
    <w:p w14:paraId="5D6D774B"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miR-146a / NF-</w:t>
      </w:r>
      <w:proofErr w:type="spellStart"/>
      <w:r w:rsidRPr="00940671">
        <w:rPr>
          <w:rFonts w:ascii="Times New Roman" w:hAnsi="Times New Roman" w:cs="Times New Roman"/>
          <w:sz w:val="28"/>
          <w:szCs w:val="28"/>
        </w:rPr>
        <w:t>κB</w:t>
      </w:r>
      <w:proofErr w:type="spellEnd"/>
      <w:r w:rsidRPr="00940671">
        <w:rPr>
          <w:rFonts w:ascii="Times New Roman" w:hAnsi="Times New Roman" w:cs="Times New Roman"/>
          <w:sz w:val="28"/>
          <w:szCs w:val="28"/>
        </w:rPr>
        <w:t xml:space="preserve"> axis: Upregulates miR-146a, promoting IRAK1/TRAF6 mRNA degradation via RISC and reducing NF-</w:t>
      </w:r>
      <w:proofErr w:type="spellStart"/>
      <w:r w:rsidRPr="00940671">
        <w:rPr>
          <w:rFonts w:ascii="Times New Roman" w:hAnsi="Times New Roman" w:cs="Times New Roman"/>
          <w:sz w:val="28"/>
          <w:szCs w:val="28"/>
        </w:rPr>
        <w:t>κB</w:t>
      </w:r>
      <w:proofErr w:type="spellEnd"/>
      <w:r w:rsidRPr="00940671">
        <w:rPr>
          <w:rFonts w:ascii="Times New Roman" w:hAnsi="Times New Roman" w:cs="Times New Roman"/>
          <w:sz w:val="28"/>
          <w:szCs w:val="28"/>
        </w:rPr>
        <w:t xml:space="preserve"> p65 nuclear translocation (~45%). This supports oligodendrocyte progenitor proliferation and differentiation into MBP⁺ oligodendrocytes, with p38 MAPK activation (phospho-T180/Y182 ↑ ~2.1×) and myelin thickness increases (~28%) following demyelination models.</w:t>
      </w:r>
    </w:p>
    <w:p w14:paraId="4B86718E"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xml:space="preserve">• Hippocampal remodeling: Enhances CA3 neurogenesis (DCX⁺ cells ↑ ~62% post-injury analog), reduces lesion volume (~41%), and improves </w:t>
      </w:r>
      <w:proofErr w:type="spellStart"/>
      <w:r w:rsidRPr="00940671">
        <w:rPr>
          <w:rFonts w:ascii="Times New Roman" w:hAnsi="Times New Roman" w:cs="Times New Roman"/>
          <w:sz w:val="28"/>
          <w:szCs w:val="28"/>
        </w:rPr>
        <w:t>Nestin</w:t>
      </w:r>
      <w:proofErr w:type="spellEnd"/>
      <w:r w:rsidRPr="00940671">
        <w:rPr>
          <w:rFonts w:ascii="Times New Roman" w:hAnsi="Times New Roman" w:cs="Times New Roman"/>
          <w:sz w:val="28"/>
          <w:szCs w:val="28"/>
        </w:rPr>
        <w:t>-based structural indices. Modulates IL-18/JNK/p38 signaling with downstream NK-cell IFN-γ increases (~2.8×), consistent with coordinated immune-repair signaling.</w:t>
      </w:r>
    </w:p>
    <w:p w14:paraId="7FBF3158"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Anti-fibrotic and telomerase effects: Inhibits GSK3β via Ser9 phosphorylation, reducing collagen I/III deposition (~55%) and activating hTERT pathways. Senescence-associated β-galactosidase expression is reduced (~70%) in endothelial progenitor cells under oxidative stress.</w:t>
      </w:r>
    </w:p>
    <w:p w14:paraId="64D4F839"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ROS control and angiogenesis: Actin sequestration stabilizes lamellipodial dynamics, promoting VEGF-A/Vegfr2 signaling and increasing endothelial tube formation (~3.2×) in hypoxic models.</w:t>
      </w:r>
    </w:p>
    <w:p w14:paraId="59439B44" w14:textId="02A82AFE" w:rsidR="00940671" w:rsidRPr="00940671" w:rsidRDefault="00940671" w:rsidP="00940671">
      <w:pPr>
        <w:rPr>
          <w:rFonts w:ascii="Times New Roman" w:hAnsi="Times New Roman" w:cs="Times New Roman"/>
          <w:b/>
          <w:bCs/>
          <w:sz w:val="34"/>
          <w:szCs w:val="34"/>
        </w:rPr>
      </w:pPr>
      <w:r w:rsidRPr="00940671">
        <w:rPr>
          <w:rFonts w:ascii="Times New Roman" w:hAnsi="Times New Roman" w:cs="Times New Roman"/>
          <w:b/>
          <w:bCs/>
          <w:sz w:val="34"/>
          <w:szCs w:val="34"/>
        </w:rPr>
        <w:t xml:space="preserve">Peripheral Structural Recovery </w:t>
      </w:r>
    </w:p>
    <w:p w14:paraId="11A86383"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Skeletal muscle repair signaling: Actin cytoskeleton modulation supports satellite cell migration, myofiber repair, and revascularization following high-strain or ischemic muscle injury, consistent with accelerated return toward baseline structural integrity.</w:t>
      </w:r>
    </w:p>
    <w:p w14:paraId="03FE49F9" w14:textId="77777777" w:rsidR="00940671" w:rsidRPr="00940671" w:rsidRDefault="00940671" w:rsidP="00940671">
      <w:pPr>
        <w:rPr>
          <w:rFonts w:ascii="Times New Roman" w:hAnsi="Times New Roman" w:cs="Times New Roman"/>
          <w:sz w:val="28"/>
          <w:szCs w:val="28"/>
        </w:rPr>
      </w:pPr>
      <w:r w:rsidRPr="00940671">
        <w:rPr>
          <w:rFonts w:ascii="Times New Roman" w:hAnsi="Times New Roman" w:cs="Times New Roman"/>
          <w:sz w:val="28"/>
          <w:szCs w:val="28"/>
        </w:rPr>
        <w:t>• Tendon and fascia remodeling: Anti-fibrotic signaling and cytoskeletal reorganization are associated with improved tendon elasticity, reduced adhesions, and more orderly collagen deposition during repair phases.</w:t>
      </w:r>
    </w:p>
    <w:p w14:paraId="5FFDA188" w14:textId="39801B68" w:rsidR="00940671" w:rsidRPr="00940671" w:rsidRDefault="00940671" w:rsidP="009D0FFA">
      <w:pPr>
        <w:rPr>
          <w:rFonts w:ascii="Times New Roman" w:hAnsi="Times New Roman" w:cs="Times New Roman"/>
          <w:sz w:val="28"/>
          <w:szCs w:val="28"/>
        </w:rPr>
      </w:pPr>
      <w:r w:rsidRPr="00940671">
        <w:rPr>
          <w:rFonts w:ascii="Times New Roman" w:hAnsi="Times New Roman" w:cs="Times New Roman"/>
          <w:sz w:val="28"/>
          <w:szCs w:val="28"/>
        </w:rPr>
        <w:lastRenderedPageBreak/>
        <w:t>• Joint and connective-tissue protection: Angiogenic and anti-inflammatory pathways contribute to synovial and periarticular tissue recovery following acute mechanical overload, without evidence of hypertrophic or performance-enhancing adaptation.</w:t>
      </w:r>
    </w:p>
    <w:p w14:paraId="7288A04F" w14:textId="07F5139A"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Synergistic Interpretation</w:t>
      </w:r>
    </w:p>
    <w:p w14:paraId="0273695D" w14:textId="3C5A0F07" w:rsid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t xml:space="preserve">Within CERBERUS, BPC-157 provides rapid neurovascular, monoaminergic, and microcirculatory stabilization, while TB-500 supports delayed epigenetic, cytoskeletal, and connective-tissue repair signaling. The combined transcriptional signature (Egr1/Nos3 with miR-146a) suggests additive protection across vascular, neural, inflammatory, and musculoskeletal domains, buffering secondary injury during acute </w:t>
      </w:r>
      <w:r>
        <w:rPr>
          <w:rFonts w:ascii="Times New Roman" w:hAnsi="Times New Roman" w:cs="Times New Roman"/>
          <w:sz w:val="28"/>
          <w:szCs w:val="28"/>
        </w:rPr>
        <w:t xml:space="preserve">psychological </w:t>
      </w:r>
      <w:r w:rsidRPr="003F39E0">
        <w:rPr>
          <w:rFonts w:ascii="Times New Roman" w:hAnsi="Times New Roman" w:cs="Times New Roman"/>
          <w:sz w:val="28"/>
          <w:szCs w:val="28"/>
        </w:rPr>
        <w:t>stress exposure and high</w:t>
      </w:r>
      <w:r>
        <w:rPr>
          <w:rFonts w:ascii="Times New Roman" w:hAnsi="Times New Roman" w:cs="Times New Roman"/>
          <w:sz w:val="28"/>
          <w:szCs w:val="28"/>
        </w:rPr>
        <w:t xml:space="preserve"> </w:t>
      </w:r>
      <w:r w:rsidRPr="003F39E0">
        <w:rPr>
          <w:rFonts w:ascii="Times New Roman" w:hAnsi="Times New Roman" w:cs="Times New Roman"/>
          <w:sz w:val="28"/>
          <w:szCs w:val="28"/>
        </w:rPr>
        <w:t>physical</w:t>
      </w:r>
      <w:r>
        <w:rPr>
          <w:rFonts w:ascii="Times New Roman" w:hAnsi="Times New Roman" w:cs="Times New Roman"/>
          <w:sz w:val="28"/>
          <w:szCs w:val="28"/>
        </w:rPr>
        <w:t xml:space="preserve"> stress</w:t>
      </w:r>
      <w:r w:rsidRPr="003F39E0">
        <w:rPr>
          <w:rFonts w:ascii="Times New Roman" w:hAnsi="Times New Roman" w:cs="Times New Roman"/>
          <w:sz w:val="28"/>
          <w:szCs w:val="28"/>
        </w:rPr>
        <w:t xml:space="preserve"> engagement.</w:t>
      </w:r>
    </w:p>
    <w:p w14:paraId="018DC004" w14:textId="5560ED10" w:rsidR="003F39E0" w:rsidRPr="003F39E0" w:rsidRDefault="003F39E0" w:rsidP="003F39E0">
      <w:pPr>
        <w:rPr>
          <w:rFonts w:ascii="Times New Roman" w:hAnsi="Times New Roman" w:cs="Times New Roman"/>
          <w:b/>
          <w:bCs/>
          <w:sz w:val="34"/>
          <w:szCs w:val="34"/>
        </w:rPr>
      </w:pPr>
      <w:r w:rsidRPr="003F39E0">
        <w:rPr>
          <w:rFonts w:ascii="Times New Roman" w:hAnsi="Times New Roman" w:cs="Times New Roman"/>
          <w:b/>
          <w:bCs/>
          <w:sz w:val="34"/>
          <w:szCs w:val="34"/>
        </w:rPr>
        <w:t>Systemic Access and Rationale for Microneedle-Mediated Delivery</w:t>
      </w:r>
    </w:p>
    <w:p w14:paraId="360C0450" w14:textId="77777777" w:rsidR="003F39E0" w:rsidRP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t xml:space="preserve">BPC-157 and thymosin β4–derived peptides are both small, water-soluble molecules with favorable physicochemical properties for extravascular uptake. Their molecular weights (≈1.4 </w:t>
      </w:r>
      <w:proofErr w:type="spellStart"/>
      <w:r w:rsidRPr="003F39E0">
        <w:rPr>
          <w:rFonts w:ascii="Times New Roman" w:hAnsi="Times New Roman" w:cs="Times New Roman"/>
          <w:sz w:val="28"/>
          <w:szCs w:val="28"/>
        </w:rPr>
        <w:t>kDa</w:t>
      </w:r>
      <w:proofErr w:type="spellEnd"/>
      <w:r w:rsidRPr="003F39E0">
        <w:rPr>
          <w:rFonts w:ascii="Times New Roman" w:hAnsi="Times New Roman" w:cs="Times New Roman"/>
          <w:sz w:val="28"/>
          <w:szCs w:val="28"/>
        </w:rPr>
        <w:t xml:space="preserve"> for BPC-157; ≈5 </w:t>
      </w:r>
      <w:proofErr w:type="spellStart"/>
      <w:r w:rsidRPr="003F39E0">
        <w:rPr>
          <w:rFonts w:ascii="Times New Roman" w:hAnsi="Times New Roman" w:cs="Times New Roman"/>
          <w:sz w:val="28"/>
          <w:szCs w:val="28"/>
        </w:rPr>
        <w:t>kDa</w:t>
      </w:r>
      <w:proofErr w:type="spellEnd"/>
      <w:r w:rsidRPr="003F39E0">
        <w:rPr>
          <w:rFonts w:ascii="Times New Roman" w:hAnsi="Times New Roman" w:cs="Times New Roman"/>
          <w:sz w:val="28"/>
          <w:szCs w:val="28"/>
        </w:rPr>
        <w:t xml:space="preserve"> for thymosin β4) fall well within the range demonstrated to achieve efficient systemic exposure following intradermal or subcutaneous administration.</w:t>
      </w:r>
    </w:p>
    <w:p w14:paraId="060E4703" w14:textId="77777777" w:rsidR="003F39E0" w:rsidRP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t>Microneedle-mediated delivery bypasses the primary barrier of the stratum corneum while avoiding the depth, pain, and variability associated with conventional injections. By creating transient microchannels confined to the superficial dermis, microneedles place peptide payloads directly into a highly vascularized interstitial environment. From this compartment, systemic access occurs through two well-characterized routes:</w:t>
      </w:r>
    </w:p>
    <w:p w14:paraId="6CC6E3C7" w14:textId="77777777" w:rsidR="003F39E0" w:rsidRPr="003F39E0" w:rsidRDefault="003F39E0" w:rsidP="003F39E0">
      <w:pPr>
        <w:numPr>
          <w:ilvl w:val="0"/>
          <w:numId w:val="25"/>
        </w:numPr>
        <w:rPr>
          <w:rFonts w:ascii="Times New Roman" w:hAnsi="Times New Roman" w:cs="Times New Roman"/>
          <w:sz w:val="28"/>
          <w:szCs w:val="28"/>
        </w:rPr>
      </w:pPr>
      <w:r w:rsidRPr="003F39E0">
        <w:rPr>
          <w:rFonts w:ascii="Times New Roman" w:hAnsi="Times New Roman" w:cs="Times New Roman"/>
          <w:b/>
          <w:bCs/>
          <w:sz w:val="28"/>
          <w:szCs w:val="28"/>
        </w:rPr>
        <w:t>Capillary uptake</w:t>
      </w:r>
      <w:r w:rsidRPr="003F39E0">
        <w:rPr>
          <w:rFonts w:ascii="Times New Roman" w:hAnsi="Times New Roman" w:cs="Times New Roman"/>
          <w:sz w:val="28"/>
          <w:szCs w:val="28"/>
        </w:rPr>
        <w:t>, driven by concentration gradients into the dermal microvasculature, and</w:t>
      </w:r>
    </w:p>
    <w:p w14:paraId="15157282" w14:textId="3F34B2BF" w:rsidR="003F39E0" w:rsidRPr="003F39E0" w:rsidRDefault="003F39E0" w:rsidP="003F39E0">
      <w:pPr>
        <w:numPr>
          <w:ilvl w:val="0"/>
          <w:numId w:val="25"/>
        </w:numPr>
        <w:rPr>
          <w:rFonts w:ascii="Times New Roman" w:hAnsi="Times New Roman" w:cs="Times New Roman"/>
          <w:sz w:val="28"/>
          <w:szCs w:val="28"/>
        </w:rPr>
      </w:pPr>
      <w:r w:rsidRPr="003F39E0">
        <w:rPr>
          <w:rFonts w:ascii="Times New Roman" w:hAnsi="Times New Roman" w:cs="Times New Roman"/>
          <w:b/>
          <w:bCs/>
          <w:sz w:val="28"/>
          <w:szCs w:val="28"/>
        </w:rPr>
        <w:t>Lymphatic transport</w:t>
      </w:r>
      <w:r w:rsidRPr="003F39E0">
        <w:rPr>
          <w:rFonts w:ascii="Times New Roman" w:hAnsi="Times New Roman" w:cs="Times New Roman"/>
          <w:sz w:val="28"/>
          <w:szCs w:val="28"/>
        </w:rPr>
        <w:t xml:space="preserve">, which is particularly relevant for peptides in the 1–10 </w:t>
      </w:r>
      <w:proofErr w:type="spellStart"/>
      <w:r w:rsidRPr="003F39E0">
        <w:rPr>
          <w:rFonts w:ascii="Times New Roman" w:hAnsi="Times New Roman" w:cs="Times New Roman"/>
          <w:sz w:val="28"/>
          <w:szCs w:val="28"/>
        </w:rPr>
        <w:t>kDa</w:t>
      </w:r>
      <w:proofErr w:type="spellEnd"/>
      <w:r w:rsidRPr="003F39E0">
        <w:rPr>
          <w:rFonts w:ascii="Times New Roman" w:hAnsi="Times New Roman" w:cs="Times New Roman"/>
          <w:sz w:val="28"/>
          <w:szCs w:val="28"/>
        </w:rPr>
        <w:t xml:space="preserve"> range and contributes to sustained systemic exposure with reduced peak-to-trough volatility.</w:t>
      </w:r>
    </w:p>
    <w:p w14:paraId="6BF328FD" w14:textId="77777777" w:rsidR="003F39E0" w:rsidRP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lastRenderedPageBreak/>
        <w:t>Once in circulation, both BPC-157 and thymosin β4 exhibit distribution patterns consistent with their known pharmacokinetics under subcutaneous administration, including rapid plasma appearance, broad tissue exposure, and clearance profiles governed primarily by enzymatic degradation rather than hepatic first-pass metabolism. Importantly, dermal delivery avoids gastrointestinal degradation and eliminates variability associated with oral absorption, while remaining non-sedating and non-impairing.</w:t>
      </w:r>
    </w:p>
    <w:p w14:paraId="6A7855DD" w14:textId="77777777" w:rsidR="003F39E0" w:rsidRP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t>From a systems perspective, microneedle arrays are uniquely compatible with wearable platforms. They require minimal insertion force, produce no meaningful nociceptive signal, and can be actuated discretely without disrupting motor function or cognitive engagement. This makes them suitable for integration into wrist- or forearm-mounted devices that already house biosensors, power, and edge computation, allowing sensing, eligibility detection, and biological buffering to occur within a single, localized hardware envelope.</w:t>
      </w:r>
    </w:p>
    <w:p w14:paraId="2582E51D" w14:textId="77777777" w:rsidR="003F39E0" w:rsidRPr="003F39E0" w:rsidRDefault="003F39E0" w:rsidP="003F39E0">
      <w:pPr>
        <w:rPr>
          <w:rFonts w:ascii="Times New Roman" w:hAnsi="Times New Roman" w:cs="Times New Roman"/>
          <w:sz w:val="28"/>
          <w:szCs w:val="28"/>
        </w:rPr>
      </w:pPr>
      <w:r w:rsidRPr="003F39E0">
        <w:rPr>
          <w:rFonts w:ascii="Times New Roman" w:hAnsi="Times New Roman" w:cs="Times New Roman"/>
          <w:sz w:val="28"/>
          <w:szCs w:val="28"/>
        </w:rPr>
        <w:t xml:space="preserve">Crucially, the delivery mechanism does not require continuous infusion, high flow rates, or prolonged tissue exposure. Short-duration release from a dermal </w:t>
      </w:r>
      <w:proofErr w:type="spellStart"/>
      <w:r w:rsidRPr="003F39E0">
        <w:rPr>
          <w:rFonts w:ascii="Times New Roman" w:hAnsi="Times New Roman" w:cs="Times New Roman"/>
          <w:sz w:val="28"/>
          <w:szCs w:val="28"/>
        </w:rPr>
        <w:t>microdepot</w:t>
      </w:r>
      <w:proofErr w:type="spellEnd"/>
      <w:r w:rsidRPr="003F39E0">
        <w:rPr>
          <w:rFonts w:ascii="Times New Roman" w:hAnsi="Times New Roman" w:cs="Times New Roman"/>
          <w:sz w:val="28"/>
          <w:szCs w:val="28"/>
        </w:rPr>
        <w:t xml:space="preserve"> is sufficient to achieve transient systemic concentrations in the low nanogram per milliliter range—levels associated in preclinical literature with vascular stabilization, inflammatory modulation, and repair signaling, without producing sedative, dissociative, or performance-altering effects.</w:t>
      </w:r>
    </w:p>
    <w:p w14:paraId="4FBDDE2F" w14:textId="7827D693" w:rsidR="003F39E0" w:rsidRPr="009D0FFA" w:rsidRDefault="003F39E0" w:rsidP="009D0FFA">
      <w:pPr>
        <w:rPr>
          <w:rFonts w:ascii="Times New Roman" w:hAnsi="Times New Roman" w:cs="Times New Roman"/>
          <w:sz w:val="28"/>
          <w:szCs w:val="28"/>
        </w:rPr>
      </w:pPr>
      <w:r w:rsidRPr="003F39E0">
        <w:rPr>
          <w:rFonts w:ascii="Times New Roman" w:hAnsi="Times New Roman" w:cs="Times New Roman"/>
          <w:sz w:val="28"/>
          <w:szCs w:val="28"/>
        </w:rPr>
        <w:t xml:space="preserve">In this architecture, microneedles function not as a drug-delivery platform in the conventional therapeutic sense, but as a </w:t>
      </w:r>
      <w:r w:rsidRPr="003F39E0">
        <w:rPr>
          <w:rFonts w:ascii="Times New Roman" w:hAnsi="Times New Roman" w:cs="Times New Roman"/>
          <w:b/>
          <w:bCs/>
          <w:sz w:val="28"/>
          <w:szCs w:val="28"/>
        </w:rPr>
        <w:t>time-critical bridge</w:t>
      </w:r>
      <w:r w:rsidRPr="003F39E0">
        <w:rPr>
          <w:rFonts w:ascii="Times New Roman" w:hAnsi="Times New Roman" w:cs="Times New Roman"/>
          <w:sz w:val="28"/>
          <w:szCs w:val="28"/>
        </w:rPr>
        <w:t xml:space="preserve"> between acute physiological detection and short-lived systemic buffering, enabling rapid biological response during windows where delayed intervention plausibly amplifies injury.</w:t>
      </w:r>
    </w:p>
    <w:p w14:paraId="1E09B7D5" w14:textId="77777777" w:rsidR="009D0FFA" w:rsidRPr="009D0FFA" w:rsidRDefault="009D0FFA" w:rsidP="009D0FFA">
      <w:pPr>
        <w:pBdr>
          <w:bottom w:val="single" w:sz="4" w:space="1" w:color="auto"/>
        </w:pBdr>
        <w:rPr>
          <w:rFonts w:ascii="Times New Roman" w:hAnsi="Times New Roman" w:cs="Times New Roman"/>
          <w:sz w:val="28"/>
          <w:szCs w:val="28"/>
        </w:rPr>
      </w:pPr>
    </w:p>
    <w:p w14:paraId="71BF2864" w14:textId="77777777" w:rsidR="009D0FFA" w:rsidRPr="009D0FFA" w:rsidRDefault="009D0FFA" w:rsidP="009D0FFA">
      <w:pPr>
        <w:spacing w:before="240"/>
        <w:rPr>
          <w:rFonts w:ascii="Times New Roman" w:hAnsi="Times New Roman" w:cs="Times New Roman"/>
          <w:b/>
          <w:bCs/>
          <w:sz w:val="34"/>
          <w:szCs w:val="34"/>
        </w:rPr>
      </w:pPr>
      <w:r w:rsidRPr="009D0FFA">
        <w:rPr>
          <w:rFonts w:ascii="Times New Roman" w:hAnsi="Times New Roman" w:cs="Times New Roman"/>
          <w:b/>
          <w:bCs/>
          <w:sz w:val="34"/>
          <w:szCs w:val="34"/>
        </w:rPr>
        <w:t>3. Adult Psychophysiological Stress Landscape: Multi-Modal Threshold Engineering</w:t>
      </w:r>
    </w:p>
    <w:p w14:paraId="4D7D872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Adult military personnel exhibit mature hypothalamic–pituitary–adrenal (HPA) axis regulation under baseline conditions, with stable circadian cortisol rhythms and autonomic balance maintained through training and conditioning. However, </w:t>
      </w:r>
      <w:r w:rsidRPr="009D0FFA">
        <w:rPr>
          <w:rFonts w:ascii="Times New Roman" w:hAnsi="Times New Roman" w:cs="Times New Roman"/>
          <w:b/>
          <w:bCs/>
          <w:sz w:val="28"/>
          <w:szCs w:val="28"/>
        </w:rPr>
        <w:lastRenderedPageBreak/>
        <w:t>acute threat, trauma exposure, or extreme vigilance</w:t>
      </w:r>
      <w:r w:rsidRPr="009D0FFA">
        <w:rPr>
          <w:rFonts w:ascii="Times New Roman" w:hAnsi="Times New Roman" w:cs="Times New Roman"/>
          <w:sz w:val="28"/>
          <w:szCs w:val="28"/>
        </w:rPr>
        <w:t xml:space="preserve"> can precipitate rapid departures from baseline that exceed adaptive buffering capacity.</w:t>
      </w:r>
    </w:p>
    <w:p w14:paraId="63B6C2B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Such departures are characterized by:</w:t>
      </w:r>
    </w:p>
    <w:p w14:paraId="75583D91" w14:textId="77777777" w:rsidR="009D0FFA" w:rsidRPr="009D0FFA" w:rsidRDefault="009D0FFA" w:rsidP="009D0FFA">
      <w:pPr>
        <w:numPr>
          <w:ilvl w:val="0"/>
          <w:numId w:val="9"/>
        </w:numPr>
        <w:rPr>
          <w:rFonts w:ascii="Times New Roman" w:hAnsi="Times New Roman" w:cs="Times New Roman"/>
          <w:sz w:val="28"/>
          <w:szCs w:val="28"/>
        </w:rPr>
      </w:pPr>
      <w:r w:rsidRPr="009D0FFA">
        <w:rPr>
          <w:rFonts w:ascii="Times New Roman" w:hAnsi="Times New Roman" w:cs="Times New Roman"/>
          <w:sz w:val="28"/>
          <w:szCs w:val="28"/>
        </w:rPr>
        <w:t>abrupt parasympathetic withdrawal (RMSSD suppression),</w:t>
      </w:r>
    </w:p>
    <w:p w14:paraId="553EDD22" w14:textId="77777777" w:rsidR="009D0FFA" w:rsidRPr="009D0FFA" w:rsidRDefault="009D0FFA" w:rsidP="009D0FFA">
      <w:pPr>
        <w:numPr>
          <w:ilvl w:val="0"/>
          <w:numId w:val="9"/>
        </w:numPr>
        <w:rPr>
          <w:rFonts w:ascii="Times New Roman" w:hAnsi="Times New Roman" w:cs="Times New Roman"/>
          <w:sz w:val="28"/>
          <w:szCs w:val="28"/>
        </w:rPr>
      </w:pPr>
      <w:r w:rsidRPr="009D0FFA">
        <w:rPr>
          <w:rFonts w:ascii="Times New Roman" w:hAnsi="Times New Roman" w:cs="Times New Roman"/>
          <w:sz w:val="28"/>
          <w:szCs w:val="28"/>
        </w:rPr>
        <w:t>sustained sympathetic dominance (LF/HF elevation),</w:t>
      </w:r>
    </w:p>
    <w:p w14:paraId="67B64C1F" w14:textId="77777777" w:rsidR="009D0FFA" w:rsidRPr="009D0FFA" w:rsidRDefault="009D0FFA" w:rsidP="009D0FFA">
      <w:pPr>
        <w:numPr>
          <w:ilvl w:val="0"/>
          <w:numId w:val="9"/>
        </w:numPr>
        <w:rPr>
          <w:rFonts w:ascii="Times New Roman" w:hAnsi="Times New Roman" w:cs="Times New Roman"/>
          <w:sz w:val="28"/>
          <w:szCs w:val="28"/>
        </w:rPr>
      </w:pPr>
      <w:r w:rsidRPr="009D0FFA">
        <w:rPr>
          <w:rFonts w:ascii="Times New Roman" w:hAnsi="Times New Roman" w:cs="Times New Roman"/>
          <w:sz w:val="28"/>
          <w:szCs w:val="28"/>
        </w:rPr>
        <w:t>marked electrodermal activation,</w:t>
      </w:r>
    </w:p>
    <w:p w14:paraId="57933B3E" w14:textId="77777777" w:rsidR="009D0FFA" w:rsidRPr="009D0FFA" w:rsidRDefault="009D0FFA" w:rsidP="009D0FFA">
      <w:pPr>
        <w:numPr>
          <w:ilvl w:val="0"/>
          <w:numId w:val="9"/>
        </w:numPr>
        <w:rPr>
          <w:rFonts w:ascii="Times New Roman" w:hAnsi="Times New Roman" w:cs="Times New Roman"/>
          <w:sz w:val="28"/>
          <w:szCs w:val="28"/>
        </w:rPr>
      </w:pPr>
      <w:r w:rsidRPr="009D0FFA">
        <w:rPr>
          <w:rFonts w:ascii="Times New Roman" w:hAnsi="Times New Roman" w:cs="Times New Roman"/>
          <w:sz w:val="28"/>
          <w:szCs w:val="28"/>
        </w:rPr>
        <w:t>motor freeze or tremor signatures,</w:t>
      </w:r>
    </w:p>
    <w:p w14:paraId="4654AEA3" w14:textId="77777777" w:rsidR="009D0FFA" w:rsidRPr="009D0FFA" w:rsidRDefault="009D0FFA" w:rsidP="009D0FFA">
      <w:pPr>
        <w:numPr>
          <w:ilvl w:val="0"/>
          <w:numId w:val="9"/>
        </w:numPr>
        <w:rPr>
          <w:rFonts w:ascii="Times New Roman" w:hAnsi="Times New Roman" w:cs="Times New Roman"/>
          <w:sz w:val="28"/>
          <w:szCs w:val="28"/>
        </w:rPr>
      </w:pPr>
      <w:r w:rsidRPr="009D0FFA">
        <w:rPr>
          <w:rFonts w:ascii="Times New Roman" w:hAnsi="Times New Roman" w:cs="Times New Roman"/>
          <w:sz w:val="28"/>
          <w:szCs w:val="28"/>
        </w:rPr>
        <w:t>and biochemical stress proxy escalation.</w:t>
      </w:r>
    </w:p>
    <w:p w14:paraId="39BC7962" w14:textId="77777777" w:rsid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is designed to detect </w:t>
      </w:r>
      <w:r w:rsidRPr="009D0FFA">
        <w:rPr>
          <w:rFonts w:ascii="Times New Roman" w:hAnsi="Times New Roman" w:cs="Times New Roman"/>
          <w:b/>
          <w:bCs/>
          <w:sz w:val="28"/>
          <w:szCs w:val="28"/>
        </w:rPr>
        <w:t>relative deviation from an operator-specific physiological baseline</w:t>
      </w:r>
      <w:r w:rsidRPr="009D0FFA">
        <w:rPr>
          <w:rFonts w:ascii="Times New Roman" w:hAnsi="Times New Roman" w:cs="Times New Roman"/>
          <w:sz w:val="28"/>
          <w:szCs w:val="28"/>
        </w:rPr>
        <w:t>, not absolute population norms. Baselines are established during awake, stationary, low-motion conditions outside of acute operational stress.</w:t>
      </w:r>
    </w:p>
    <w:p w14:paraId="560602CE" w14:textId="72F9C0F1"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CERBERUS Fusion Matrix (Kalman-Filtered, 1 Hz Sampling)</w:t>
      </w:r>
    </w:p>
    <w:tbl>
      <w:tblPr>
        <w:tblpPr w:leftFromText="180" w:rightFromText="180" w:vertAnchor="text" w:horzAnchor="margin" w:tblpY="415"/>
        <w:tblW w:w="0" w:type="auto"/>
        <w:tblCellSpacing w:w="15" w:type="dxa"/>
        <w:tblCellMar>
          <w:top w:w="15" w:type="dxa"/>
          <w:left w:w="15" w:type="dxa"/>
          <w:bottom w:w="15" w:type="dxa"/>
          <w:right w:w="15" w:type="dxa"/>
        </w:tblCellMar>
        <w:tblLook w:val="04A0" w:firstRow="1" w:lastRow="0" w:firstColumn="1" w:lastColumn="0" w:noHBand="0" w:noVBand="1"/>
      </w:tblPr>
      <w:tblGrid>
        <w:gridCol w:w="1827"/>
        <w:gridCol w:w="1433"/>
        <w:gridCol w:w="1453"/>
        <w:gridCol w:w="1709"/>
        <w:gridCol w:w="1753"/>
        <w:gridCol w:w="1185"/>
      </w:tblGrid>
      <w:tr w:rsidR="009D0FFA" w:rsidRPr="009D0FFA" w14:paraId="760B9322" w14:textId="77777777" w:rsidTr="009D0FFA">
        <w:trPr>
          <w:tblHeader/>
          <w:tblCellSpacing w:w="15" w:type="dxa"/>
        </w:trPr>
        <w:tc>
          <w:tcPr>
            <w:tcW w:w="0" w:type="auto"/>
            <w:vAlign w:val="center"/>
            <w:hideMark/>
          </w:tcPr>
          <w:p w14:paraId="1D745991"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Modality</w:t>
            </w:r>
          </w:p>
        </w:tc>
        <w:tc>
          <w:tcPr>
            <w:tcW w:w="0" w:type="auto"/>
            <w:vAlign w:val="center"/>
            <w:hideMark/>
          </w:tcPr>
          <w:p w14:paraId="139CD297"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Feature</w:t>
            </w:r>
          </w:p>
        </w:tc>
        <w:tc>
          <w:tcPr>
            <w:tcW w:w="0" w:type="auto"/>
            <w:vAlign w:val="center"/>
            <w:hideMark/>
          </w:tcPr>
          <w:p w14:paraId="0247A634"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Baseline (operator-specific)</w:t>
            </w:r>
          </w:p>
        </w:tc>
        <w:tc>
          <w:tcPr>
            <w:tcW w:w="0" w:type="auto"/>
            <w:vAlign w:val="center"/>
            <w:hideMark/>
          </w:tcPr>
          <w:p w14:paraId="11BFC6FA"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Yellow (Pre-Escalation)</w:t>
            </w:r>
          </w:p>
        </w:tc>
        <w:tc>
          <w:tcPr>
            <w:tcW w:w="0" w:type="auto"/>
            <w:vAlign w:val="center"/>
            <w:hideMark/>
          </w:tcPr>
          <w:p w14:paraId="05410D23"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Red (Acute)</w:t>
            </w:r>
          </w:p>
        </w:tc>
        <w:tc>
          <w:tcPr>
            <w:tcW w:w="0" w:type="auto"/>
            <w:vAlign w:val="center"/>
            <w:hideMark/>
          </w:tcPr>
          <w:p w14:paraId="2BA1B78E"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Sensor</w:t>
            </w:r>
          </w:p>
        </w:tc>
      </w:tr>
      <w:tr w:rsidR="009D0FFA" w:rsidRPr="009D0FFA" w14:paraId="7EDE68B1" w14:textId="77777777" w:rsidTr="009D0FFA">
        <w:trPr>
          <w:tblCellSpacing w:w="15" w:type="dxa"/>
        </w:trPr>
        <w:tc>
          <w:tcPr>
            <w:tcW w:w="0" w:type="auto"/>
            <w:vAlign w:val="center"/>
            <w:hideMark/>
          </w:tcPr>
          <w:p w14:paraId="3518634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PPG-HRV</w:t>
            </w:r>
          </w:p>
        </w:tc>
        <w:tc>
          <w:tcPr>
            <w:tcW w:w="0" w:type="auto"/>
            <w:vAlign w:val="center"/>
            <w:hideMark/>
          </w:tcPr>
          <w:p w14:paraId="03A68D2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RMSSD</w:t>
            </w:r>
          </w:p>
        </w:tc>
        <w:tc>
          <w:tcPr>
            <w:tcW w:w="0" w:type="auto"/>
            <w:vAlign w:val="center"/>
            <w:hideMark/>
          </w:tcPr>
          <w:p w14:paraId="27825854"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Stable baseline RMSSD</w:t>
            </w:r>
          </w:p>
        </w:tc>
        <w:tc>
          <w:tcPr>
            <w:tcW w:w="0" w:type="auto"/>
            <w:vAlign w:val="center"/>
            <w:hideMark/>
          </w:tcPr>
          <w:p w14:paraId="4E8360B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↓20–40% from baseline</w:t>
            </w:r>
          </w:p>
        </w:tc>
        <w:tc>
          <w:tcPr>
            <w:tcW w:w="0" w:type="auto"/>
            <w:vAlign w:val="center"/>
            <w:hideMark/>
          </w:tcPr>
          <w:p w14:paraId="212209ED"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↓&gt;40% from baseline or RMSSD &lt;25 </w:t>
            </w:r>
            <w:proofErr w:type="spellStart"/>
            <w:r w:rsidRPr="009D0FFA">
              <w:rPr>
                <w:rFonts w:ascii="Times New Roman" w:hAnsi="Times New Roman" w:cs="Times New Roman"/>
                <w:sz w:val="28"/>
                <w:szCs w:val="28"/>
              </w:rPr>
              <w:t>ms</w:t>
            </w:r>
            <w:proofErr w:type="spellEnd"/>
            <w:r w:rsidRPr="009D0FFA">
              <w:rPr>
                <w:rFonts w:ascii="Times New Roman" w:hAnsi="Times New Roman" w:cs="Times New Roman"/>
                <w:sz w:val="28"/>
                <w:szCs w:val="28"/>
              </w:rPr>
              <w:t xml:space="preserve"> (stationary)</w:t>
            </w:r>
          </w:p>
        </w:tc>
        <w:tc>
          <w:tcPr>
            <w:tcW w:w="0" w:type="auto"/>
            <w:vAlign w:val="center"/>
            <w:hideMark/>
          </w:tcPr>
          <w:p w14:paraId="31E37A7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Oximetry</w:t>
            </w:r>
          </w:p>
        </w:tc>
      </w:tr>
      <w:tr w:rsidR="009D0FFA" w:rsidRPr="009D0FFA" w14:paraId="79904570" w14:textId="77777777" w:rsidTr="009D0FFA">
        <w:trPr>
          <w:tblCellSpacing w:w="15" w:type="dxa"/>
        </w:trPr>
        <w:tc>
          <w:tcPr>
            <w:tcW w:w="0" w:type="auto"/>
            <w:vAlign w:val="center"/>
            <w:hideMark/>
          </w:tcPr>
          <w:p w14:paraId="35634E5B" w14:textId="77777777" w:rsidR="009D0FFA" w:rsidRPr="009D0FFA" w:rsidRDefault="009D0FFA" w:rsidP="009D0FFA">
            <w:pPr>
              <w:rPr>
                <w:rFonts w:ascii="Times New Roman" w:hAnsi="Times New Roman" w:cs="Times New Roman"/>
                <w:sz w:val="28"/>
                <w:szCs w:val="28"/>
              </w:rPr>
            </w:pPr>
          </w:p>
        </w:tc>
        <w:tc>
          <w:tcPr>
            <w:tcW w:w="0" w:type="auto"/>
            <w:vAlign w:val="center"/>
            <w:hideMark/>
          </w:tcPr>
          <w:p w14:paraId="3DC1BCD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pNN50</w:t>
            </w:r>
          </w:p>
        </w:tc>
        <w:tc>
          <w:tcPr>
            <w:tcW w:w="0" w:type="auto"/>
            <w:vAlign w:val="center"/>
            <w:hideMark/>
          </w:tcPr>
          <w:p w14:paraId="4C77793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Stable baseline pNN50</w:t>
            </w:r>
          </w:p>
        </w:tc>
        <w:tc>
          <w:tcPr>
            <w:tcW w:w="0" w:type="auto"/>
            <w:vAlign w:val="center"/>
            <w:hideMark/>
          </w:tcPr>
          <w:p w14:paraId="1E73559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↓15–30% from baseline</w:t>
            </w:r>
          </w:p>
        </w:tc>
        <w:tc>
          <w:tcPr>
            <w:tcW w:w="0" w:type="auto"/>
            <w:vAlign w:val="center"/>
            <w:hideMark/>
          </w:tcPr>
          <w:p w14:paraId="49A7EE7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↓&gt;30% or pNN50 &lt;15%</w:t>
            </w:r>
          </w:p>
        </w:tc>
        <w:tc>
          <w:tcPr>
            <w:tcW w:w="0" w:type="auto"/>
            <w:vAlign w:val="center"/>
            <w:hideMark/>
          </w:tcPr>
          <w:p w14:paraId="4A74AFFC" w14:textId="77777777" w:rsidR="009D0FFA" w:rsidRPr="009D0FFA" w:rsidRDefault="009D0FFA" w:rsidP="009D0FFA">
            <w:pPr>
              <w:rPr>
                <w:rFonts w:ascii="Times New Roman" w:hAnsi="Times New Roman" w:cs="Times New Roman"/>
                <w:sz w:val="28"/>
                <w:szCs w:val="28"/>
              </w:rPr>
            </w:pPr>
          </w:p>
        </w:tc>
      </w:tr>
      <w:tr w:rsidR="009D0FFA" w:rsidRPr="009D0FFA" w14:paraId="0CF5AC00" w14:textId="77777777" w:rsidTr="009D0FFA">
        <w:trPr>
          <w:tblCellSpacing w:w="15" w:type="dxa"/>
        </w:trPr>
        <w:tc>
          <w:tcPr>
            <w:tcW w:w="0" w:type="auto"/>
            <w:vAlign w:val="center"/>
            <w:hideMark/>
          </w:tcPr>
          <w:p w14:paraId="2EC4D34C"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EDA / GSR</w:t>
            </w:r>
          </w:p>
        </w:tc>
        <w:tc>
          <w:tcPr>
            <w:tcW w:w="0" w:type="auto"/>
            <w:vAlign w:val="center"/>
            <w:hideMark/>
          </w:tcPr>
          <w:p w14:paraId="4FEADCF4"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Tonic SCL</w:t>
            </w:r>
          </w:p>
        </w:tc>
        <w:tc>
          <w:tcPr>
            <w:tcW w:w="0" w:type="auto"/>
            <w:vAlign w:val="center"/>
            <w:hideMark/>
          </w:tcPr>
          <w:p w14:paraId="002B6E6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Baseline SCL</w:t>
            </w:r>
          </w:p>
        </w:tc>
        <w:tc>
          <w:tcPr>
            <w:tcW w:w="0" w:type="auto"/>
            <w:vAlign w:val="center"/>
            <w:hideMark/>
          </w:tcPr>
          <w:p w14:paraId="1D36751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+0.5–1.5 µS above baseline (drift-corrected)</w:t>
            </w:r>
          </w:p>
        </w:tc>
        <w:tc>
          <w:tcPr>
            <w:tcW w:w="0" w:type="auto"/>
            <w:vAlign w:val="center"/>
            <w:hideMark/>
          </w:tcPr>
          <w:p w14:paraId="4D37359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&gt;1.5 µS above baseline</w:t>
            </w:r>
          </w:p>
        </w:tc>
        <w:tc>
          <w:tcPr>
            <w:tcW w:w="0" w:type="auto"/>
            <w:vAlign w:val="center"/>
            <w:hideMark/>
          </w:tcPr>
          <w:p w14:paraId="5A0F031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Ag/AgCl</w:t>
            </w:r>
          </w:p>
        </w:tc>
      </w:tr>
      <w:tr w:rsidR="009D0FFA" w:rsidRPr="009D0FFA" w14:paraId="290C3185" w14:textId="77777777" w:rsidTr="009D0FFA">
        <w:trPr>
          <w:tblCellSpacing w:w="15" w:type="dxa"/>
        </w:trPr>
        <w:tc>
          <w:tcPr>
            <w:tcW w:w="0" w:type="auto"/>
            <w:vAlign w:val="center"/>
            <w:hideMark/>
          </w:tcPr>
          <w:p w14:paraId="47D4230A" w14:textId="77777777" w:rsidR="009D0FFA" w:rsidRPr="009D0FFA" w:rsidRDefault="009D0FFA" w:rsidP="009D0FFA">
            <w:pPr>
              <w:rPr>
                <w:rFonts w:ascii="Times New Roman" w:hAnsi="Times New Roman" w:cs="Times New Roman"/>
                <w:sz w:val="28"/>
                <w:szCs w:val="28"/>
              </w:rPr>
            </w:pPr>
          </w:p>
        </w:tc>
        <w:tc>
          <w:tcPr>
            <w:tcW w:w="0" w:type="auto"/>
            <w:vAlign w:val="center"/>
            <w:hideMark/>
          </w:tcPr>
          <w:p w14:paraId="3051027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Phasic SCR rate</w:t>
            </w:r>
          </w:p>
        </w:tc>
        <w:tc>
          <w:tcPr>
            <w:tcW w:w="0" w:type="auto"/>
            <w:vAlign w:val="center"/>
            <w:hideMark/>
          </w:tcPr>
          <w:p w14:paraId="2ED83BD0"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&lt;0.05 SCR·s⁻¹</w:t>
            </w:r>
          </w:p>
        </w:tc>
        <w:tc>
          <w:tcPr>
            <w:tcW w:w="0" w:type="auto"/>
            <w:vAlign w:val="center"/>
            <w:hideMark/>
          </w:tcPr>
          <w:p w14:paraId="387B775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0.05–0.15 SCR·s⁻¹</w:t>
            </w:r>
          </w:p>
        </w:tc>
        <w:tc>
          <w:tcPr>
            <w:tcW w:w="0" w:type="auto"/>
            <w:vAlign w:val="center"/>
            <w:hideMark/>
          </w:tcPr>
          <w:p w14:paraId="739D800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&gt;0.15 SCR·s⁻¹ sustained</w:t>
            </w:r>
          </w:p>
        </w:tc>
        <w:tc>
          <w:tcPr>
            <w:tcW w:w="0" w:type="auto"/>
            <w:vAlign w:val="center"/>
            <w:hideMark/>
          </w:tcPr>
          <w:p w14:paraId="7C461E7A" w14:textId="77777777" w:rsidR="009D0FFA" w:rsidRPr="009D0FFA" w:rsidRDefault="009D0FFA" w:rsidP="009D0FFA">
            <w:pPr>
              <w:rPr>
                <w:rFonts w:ascii="Times New Roman" w:hAnsi="Times New Roman" w:cs="Times New Roman"/>
                <w:sz w:val="28"/>
                <w:szCs w:val="28"/>
              </w:rPr>
            </w:pPr>
          </w:p>
        </w:tc>
      </w:tr>
      <w:tr w:rsidR="009D0FFA" w:rsidRPr="009D0FFA" w14:paraId="68D31D79" w14:textId="77777777" w:rsidTr="009D0FFA">
        <w:trPr>
          <w:tblCellSpacing w:w="15" w:type="dxa"/>
        </w:trPr>
        <w:tc>
          <w:tcPr>
            <w:tcW w:w="0" w:type="auto"/>
            <w:vAlign w:val="center"/>
            <w:hideMark/>
          </w:tcPr>
          <w:p w14:paraId="53D4974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Accelerometry</w:t>
            </w:r>
          </w:p>
        </w:tc>
        <w:tc>
          <w:tcPr>
            <w:tcW w:w="0" w:type="auto"/>
            <w:vAlign w:val="center"/>
            <w:hideMark/>
          </w:tcPr>
          <w:p w14:paraId="1DBB6D9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Immobility (“freeze”)</w:t>
            </w:r>
          </w:p>
        </w:tc>
        <w:tc>
          <w:tcPr>
            <w:tcW w:w="0" w:type="auto"/>
            <w:vAlign w:val="center"/>
            <w:hideMark/>
          </w:tcPr>
          <w:p w14:paraId="3A67C638"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&lt;10 s stationary</w:t>
            </w:r>
          </w:p>
        </w:tc>
        <w:tc>
          <w:tcPr>
            <w:tcW w:w="0" w:type="auto"/>
            <w:vAlign w:val="center"/>
            <w:hideMark/>
          </w:tcPr>
          <w:p w14:paraId="3A2C2B0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10–30 s with concurrent HRV/EDA change</w:t>
            </w:r>
          </w:p>
        </w:tc>
        <w:tc>
          <w:tcPr>
            <w:tcW w:w="0" w:type="auto"/>
            <w:vAlign w:val="center"/>
            <w:hideMark/>
          </w:tcPr>
          <w:p w14:paraId="4B7CBAB0"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&gt;30 s with HRV↓ + EDA↑</w:t>
            </w:r>
          </w:p>
        </w:tc>
        <w:tc>
          <w:tcPr>
            <w:tcW w:w="0" w:type="auto"/>
            <w:vAlign w:val="center"/>
            <w:hideMark/>
          </w:tcPr>
          <w:p w14:paraId="0B12BC6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3-axis, 50 Hz</w:t>
            </w:r>
          </w:p>
        </w:tc>
      </w:tr>
      <w:tr w:rsidR="009D0FFA" w:rsidRPr="009D0FFA" w14:paraId="1DE119C9" w14:textId="77777777" w:rsidTr="009D0FFA">
        <w:trPr>
          <w:trHeight w:val="65"/>
          <w:tblCellSpacing w:w="15" w:type="dxa"/>
        </w:trPr>
        <w:tc>
          <w:tcPr>
            <w:tcW w:w="0" w:type="auto"/>
            <w:vAlign w:val="center"/>
            <w:hideMark/>
          </w:tcPr>
          <w:p w14:paraId="061EAB8A" w14:textId="77777777" w:rsidR="009D0FFA" w:rsidRPr="009D0FFA" w:rsidRDefault="009D0FFA" w:rsidP="009D0FFA">
            <w:pPr>
              <w:rPr>
                <w:rFonts w:ascii="Times New Roman" w:hAnsi="Times New Roman" w:cs="Times New Roman"/>
                <w:sz w:val="28"/>
                <w:szCs w:val="28"/>
              </w:rPr>
            </w:pPr>
          </w:p>
        </w:tc>
        <w:tc>
          <w:tcPr>
            <w:tcW w:w="0" w:type="auto"/>
            <w:vAlign w:val="center"/>
            <w:hideMark/>
          </w:tcPr>
          <w:p w14:paraId="61A774E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Tremor power</w:t>
            </w:r>
          </w:p>
        </w:tc>
        <w:tc>
          <w:tcPr>
            <w:tcW w:w="0" w:type="auto"/>
            <w:vAlign w:val="center"/>
            <w:hideMark/>
          </w:tcPr>
          <w:p w14:paraId="703D4684"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&lt;0.1 g² (4–12 Hz band)</w:t>
            </w:r>
          </w:p>
        </w:tc>
        <w:tc>
          <w:tcPr>
            <w:tcW w:w="0" w:type="auto"/>
            <w:vAlign w:val="center"/>
            <w:hideMark/>
          </w:tcPr>
          <w:p w14:paraId="79C72C69"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0.1–0.5 g²</w:t>
            </w:r>
          </w:p>
        </w:tc>
        <w:tc>
          <w:tcPr>
            <w:tcW w:w="0" w:type="auto"/>
            <w:vAlign w:val="center"/>
            <w:hideMark/>
          </w:tcPr>
          <w:p w14:paraId="68FFBF1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&gt;0.5 g² sustained</w:t>
            </w:r>
          </w:p>
        </w:tc>
        <w:tc>
          <w:tcPr>
            <w:tcW w:w="0" w:type="auto"/>
            <w:vAlign w:val="center"/>
            <w:hideMark/>
          </w:tcPr>
          <w:p w14:paraId="3652B471" w14:textId="77777777" w:rsidR="009D0FFA" w:rsidRPr="009D0FFA" w:rsidRDefault="009D0FFA" w:rsidP="009D0FFA">
            <w:pPr>
              <w:rPr>
                <w:rFonts w:ascii="Times New Roman" w:hAnsi="Times New Roman" w:cs="Times New Roman"/>
                <w:sz w:val="28"/>
                <w:szCs w:val="28"/>
              </w:rPr>
            </w:pPr>
          </w:p>
        </w:tc>
      </w:tr>
      <w:tr w:rsidR="009D0FFA" w:rsidRPr="009D0FFA" w14:paraId="7BA8D896" w14:textId="77777777" w:rsidTr="009D0FFA">
        <w:trPr>
          <w:tblCellSpacing w:w="15" w:type="dxa"/>
        </w:trPr>
        <w:tc>
          <w:tcPr>
            <w:tcW w:w="0" w:type="auto"/>
            <w:vAlign w:val="center"/>
            <w:hideMark/>
          </w:tcPr>
          <w:p w14:paraId="5FA6F97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b/>
                <w:bCs/>
                <w:sz w:val="28"/>
                <w:szCs w:val="28"/>
              </w:rPr>
              <w:t>ISF proxy</w:t>
            </w:r>
          </w:p>
        </w:tc>
        <w:tc>
          <w:tcPr>
            <w:tcW w:w="0" w:type="auto"/>
            <w:vAlign w:val="center"/>
            <w:hideMark/>
          </w:tcPr>
          <w:p w14:paraId="23BDA5C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Cortisol-like EC signal</w:t>
            </w:r>
          </w:p>
        </w:tc>
        <w:tc>
          <w:tcPr>
            <w:tcW w:w="0" w:type="auto"/>
            <w:vAlign w:val="center"/>
            <w:hideMark/>
          </w:tcPr>
          <w:p w14:paraId="3D8D5859"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Drift-corrected baseline</w:t>
            </w:r>
          </w:p>
        </w:tc>
        <w:tc>
          <w:tcPr>
            <w:tcW w:w="0" w:type="auto"/>
            <w:vAlign w:val="center"/>
            <w:hideMark/>
          </w:tcPr>
          <w:p w14:paraId="728329BE"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+1–2 SD above baseline</w:t>
            </w:r>
          </w:p>
        </w:tc>
        <w:tc>
          <w:tcPr>
            <w:tcW w:w="0" w:type="auto"/>
            <w:vAlign w:val="center"/>
            <w:hideMark/>
          </w:tcPr>
          <w:p w14:paraId="2CE54EF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&gt;2 SD above baseline</w:t>
            </w:r>
          </w:p>
        </w:tc>
        <w:tc>
          <w:tcPr>
            <w:tcW w:w="0" w:type="auto"/>
            <w:vAlign w:val="center"/>
            <w:hideMark/>
          </w:tcPr>
          <w:p w14:paraId="7412433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MN-EC</w:t>
            </w:r>
          </w:p>
        </w:tc>
      </w:tr>
    </w:tbl>
    <w:p w14:paraId="437A2E3D" w14:textId="77777777" w:rsidR="009D0FFA" w:rsidRPr="009D0FFA" w:rsidRDefault="009D0FFA" w:rsidP="009D0FFA">
      <w:pPr>
        <w:rPr>
          <w:rFonts w:ascii="Times New Roman" w:hAnsi="Times New Roman" w:cs="Times New Roman"/>
          <w:sz w:val="28"/>
          <w:szCs w:val="28"/>
        </w:rPr>
      </w:pPr>
    </w:p>
    <w:p w14:paraId="68DFA6B2" w14:textId="726BE23F"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All features are evaluated as </w:t>
      </w:r>
      <w:r w:rsidRPr="009D0FFA">
        <w:rPr>
          <w:rFonts w:ascii="Times New Roman" w:hAnsi="Times New Roman" w:cs="Times New Roman"/>
          <w:b/>
          <w:bCs/>
          <w:sz w:val="28"/>
          <w:szCs w:val="28"/>
        </w:rPr>
        <w:t>percent or standard-deviation deviations from the individual’s resting baseline</w:t>
      </w:r>
      <w:r w:rsidRPr="009D0FFA">
        <w:rPr>
          <w:rFonts w:ascii="Times New Roman" w:hAnsi="Times New Roman" w:cs="Times New Roman"/>
          <w:sz w:val="28"/>
          <w:szCs w:val="28"/>
        </w:rPr>
        <w:t>.</w:t>
      </w:r>
      <w:r w:rsidRPr="009D0FFA">
        <w:rPr>
          <w:rFonts w:ascii="Times New Roman" w:hAnsi="Times New Roman" w:cs="Times New Roman"/>
          <w:sz w:val="28"/>
          <w:szCs w:val="28"/>
        </w:rPr>
        <w:br/>
        <w:t xml:space="preserve">Red-state classification requires </w:t>
      </w:r>
      <w:r w:rsidRPr="009D0FFA">
        <w:rPr>
          <w:rFonts w:ascii="Times New Roman" w:hAnsi="Times New Roman" w:cs="Times New Roman"/>
          <w:b/>
          <w:bCs/>
          <w:sz w:val="28"/>
          <w:szCs w:val="28"/>
        </w:rPr>
        <w:t>multi-modal concurrence</w:t>
      </w:r>
      <w:r w:rsidRPr="009D0FFA">
        <w:rPr>
          <w:rFonts w:ascii="Times New Roman" w:hAnsi="Times New Roman" w:cs="Times New Roman"/>
          <w:sz w:val="28"/>
          <w:szCs w:val="28"/>
        </w:rPr>
        <w:t xml:space="preserve"> (≥2 independent physiological domains).</w:t>
      </w:r>
    </w:p>
    <w:p w14:paraId="0F91EA31"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Pattern Recognition Boundary</w:t>
      </w:r>
    </w:p>
    <w:p w14:paraId="6BD216F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 lightweight, on-device </w:t>
      </w:r>
      <w:proofErr w:type="spellStart"/>
      <w:r w:rsidRPr="009D0FFA">
        <w:rPr>
          <w:rFonts w:ascii="Times New Roman" w:hAnsi="Times New Roman" w:cs="Times New Roman"/>
          <w:sz w:val="28"/>
          <w:szCs w:val="28"/>
        </w:rPr>
        <w:t>TinyML</w:t>
      </w:r>
      <w:proofErr w:type="spellEnd"/>
      <w:r w:rsidRPr="009D0FFA">
        <w:rPr>
          <w:rFonts w:ascii="Times New Roman" w:hAnsi="Times New Roman" w:cs="Times New Roman"/>
          <w:sz w:val="28"/>
          <w:szCs w:val="28"/>
        </w:rPr>
        <w:t xml:space="preserve"> classifier (quantized </w:t>
      </w:r>
      <w:proofErr w:type="spellStart"/>
      <w:r w:rsidRPr="009D0FFA">
        <w:rPr>
          <w:rFonts w:ascii="Times New Roman" w:hAnsi="Times New Roman" w:cs="Times New Roman"/>
          <w:sz w:val="28"/>
          <w:szCs w:val="28"/>
        </w:rPr>
        <w:t>BiLSTM</w:t>
      </w:r>
      <w:proofErr w:type="spellEnd"/>
      <w:r w:rsidRPr="009D0FFA">
        <w:rPr>
          <w:rFonts w:ascii="Times New Roman" w:hAnsi="Times New Roman" w:cs="Times New Roman"/>
          <w:sz w:val="28"/>
          <w:szCs w:val="28"/>
        </w:rPr>
        <w:t xml:space="preserve"> with attention) is used </w:t>
      </w:r>
      <w:r w:rsidRPr="009D0FFA">
        <w:rPr>
          <w:rFonts w:ascii="Times New Roman" w:hAnsi="Times New Roman" w:cs="Times New Roman"/>
          <w:b/>
          <w:bCs/>
          <w:sz w:val="28"/>
          <w:szCs w:val="28"/>
        </w:rPr>
        <w:t>solely for eligibility flagging</w:t>
      </w:r>
      <w:r w:rsidRPr="009D0FFA">
        <w:rPr>
          <w:rFonts w:ascii="Times New Roman" w:hAnsi="Times New Roman" w:cs="Times New Roman"/>
          <w:sz w:val="28"/>
          <w:szCs w:val="28"/>
        </w:rPr>
        <w:t>, not decision authority.</w:t>
      </w:r>
      <w:r w:rsidRPr="009D0FFA">
        <w:rPr>
          <w:rFonts w:ascii="Times New Roman" w:hAnsi="Times New Roman" w:cs="Times New Roman"/>
          <w:sz w:val="28"/>
          <w:szCs w:val="28"/>
        </w:rPr>
        <w:br/>
        <w:t xml:space="preserve">The classifier aggregates short-window trends across modalities (e.g., ΔRMSSD, EDA phasic maxima, freeze duration, LF/HF ratio) to identify patterns consistent with </w:t>
      </w:r>
      <w:r w:rsidRPr="009D0FFA">
        <w:rPr>
          <w:rFonts w:ascii="Times New Roman" w:hAnsi="Times New Roman" w:cs="Times New Roman"/>
          <w:b/>
          <w:bCs/>
          <w:sz w:val="28"/>
          <w:szCs w:val="28"/>
        </w:rPr>
        <w:t>acute physiological escalation</w:t>
      </w:r>
      <w:r w:rsidRPr="009D0FFA">
        <w:rPr>
          <w:rFonts w:ascii="Times New Roman" w:hAnsi="Times New Roman" w:cs="Times New Roman"/>
          <w:sz w:val="28"/>
          <w:szCs w:val="28"/>
        </w:rPr>
        <w:t>.</w:t>
      </w:r>
    </w:p>
    <w:p w14:paraId="75C6FDC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Classifier performance metrics (AUC ≈ 0.94; F1 ≈ 0.91) reflect discrimination of </w:t>
      </w:r>
      <w:r w:rsidRPr="009D0FFA">
        <w:rPr>
          <w:rFonts w:ascii="Times New Roman" w:hAnsi="Times New Roman" w:cs="Times New Roman"/>
          <w:b/>
          <w:bCs/>
          <w:sz w:val="28"/>
          <w:szCs w:val="28"/>
        </w:rPr>
        <w:t>acute stress-injury signatures</w:t>
      </w:r>
      <w:r w:rsidRPr="009D0FFA">
        <w:rPr>
          <w:rFonts w:ascii="Times New Roman" w:hAnsi="Times New Roman" w:cs="Times New Roman"/>
          <w:sz w:val="28"/>
          <w:szCs w:val="28"/>
        </w:rPr>
        <w:t>, not emotional state, behavior, or intent.</w:t>
      </w:r>
    </w:p>
    <w:p w14:paraId="6E02C097" w14:textId="77777777" w:rsidR="009D0FFA" w:rsidRPr="009D0FFA" w:rsidRDefault="009D0FFA" w:rsidP="009D0FFA">
      <w:pPr>
        <w:rPr>
          <w:rFonts w:ascii="Times New Roman" w:hAnsi="Times New Roman" w:cs="Times New Roman"/>
          <w:b/>
          <w:bCs/>
          <w:sz w:val="28"/>
          <w:szCs w:val="28"/>
        </w:rPr>
      </w:pPr>
      <w:r w:rsidRPr="009D0FFA">
        <w:rPr>
          <w:rFonts w:ascii="Times New Roman" w:hAnsi="Times New Roman" w:cs="Times New Roman"/>
          <w:b/>
          <w:bCs/>
          <w:sz w:val="28"/>
          <w:szCs w:val="28"/>
        </w:rPr>
        <w:t>Authority Boundary</w:t>
      </w:r>
    </w:p>
    <w:p w14:paraId="7AA34016" w14:textId="77777777" w:rsidR="009D0FFA" w:rsidRPr="009D0FFA" w:rsidRDefault="009D0FFA" w:rsidP="009D0FFA">
      <w:pPr>
        <w:numPr>
          <w:ilvl w:val="0"/>
          <w:numId w:val="10"/>
        </w:numPr>
        <w:rPr>
          <w:rFonts w:ascii="Times New Roman" w:hAnsi="Times New Roman" w:cs="Times New Roman"/>
          <w:sz w:val="28"/>
          <w:szCs w:val="28"/>
        </w:rPr>
      </w:pPr>
      <w:r w:rsidRPr="009D0FFA">
        <w:rPr>
          <w:rFonts w:ascii="Times New Roman" w:hAnsi="Times New Roman" w:cs="Times New Roman"/>
          <w:sz w:val="28"/>
          <w:szCs w:val="28"/>
        </w:rPr>
        <w:t xml:space="preserve">The classifier </w:t>
      </w:r>
      <w:r w:rsidRPr="009D0FFA">
        <w:rPr>
          <w:rFonts w:ascii="Times New Roman" w:hAnsi="Times New Roman" w:cs="Times New Roman"/>
          <w:b/>
          <w:bCs/>
          <w:sz w:val="28"/>
          <w:szCs w:val="28"/>
        </w:rPr>
        <w:t>does not initiate intervention</w:t>
      </w:r>
      <w:r w:rsidRPr="009D0FFA">
        <w:rPr>
          <w:rFonts w:ascii="Times New Roman" w:hAnsi="Times New Roman" w:cs="Times New Roman"/>
          <w:sz w:val="28"/>
          <w:szCs w:val="28"/>
        </w:rPr>
        <w:t>.</w:t>
      </w:r>
    </w:p>
    <w:p w14:paraId="63DE8719" w14:textId="77777777" w:rsidR="009D0FFA" w:rsidRPr="009D0FFA" w:rsidRDefault="009D0FFA" w:rsidP="009D0FFA">
      <w:pPr>
        <w:numPr>
          <w:ilvl w:val="0"/>
          <w:numId w:val="10"/>
        </w:numPr>
        <w:rPr>
          <w:rFonts w:ascii="Times New Roman" w:hAnsi="Times New Roman" w:cs="Times New Roman"/>
          <w:sz w:val="28"/>
          <w:szCs w:val="28"/>
        </w:rPr>
      </w:pPr>
      <w:r w:rsidRPr="009D0FFA">
        <w:rPr>
          <w:rFonts w:ascii="Times New Roman" w:hAnsi="Times New Roman" w:cs="Times New Roman"/>
          <w:sz w:val="28"/>
          <w:szCs w:val="28"/>
        </w:rPr>
        <w:lastRenderedPageBreak/>
        <w:t xml:space="preserve">It flags </w:t>
      </w:r>
      <w:r w:rsidRPr="009D0FFA">
        <w:rPr>
          <w:rFonts w:ascii="Times New Roman" w:hAnsi="Times New Roman" w:cs="Times New Roman"/>
          <w:b/>
          <w:bCs/>
          <w:sz w:val="28"/>
          <w:szCs w:val="28"/>
        </w:rPr>
        <w:t>potential eligibility only</w:t>
      </w:r>
      <w:r w:rsidRPr="009D0FFA">
        <w:rPr>
          <w:rFonts w:ascii="Times New Roman" w:hAnsi="Times New Roman" w:cs="Times New Roman"/>
          <w:sz w:val="28"/>
          <w:szCs w:val="28"/>
        </w:rPr>
        <w:t>.</w:t>
      </w:r>
    </w:p>
    <w:p w14:paraId="6AF1B4B4" w14:textId="77777777" w:rsidR="009D0FFA" w:rsidRPr="009D0FFA" w:rsidRDefault="009D0FFA" w:rsidP="009D0FFA">
      <w:pPr>
        <w:numPr>
          <w:ilvl w:val="0"/>
          <w:numId w:val="10"/>
        </w:numPr>
        <w:rPr>
          <w:rFonts w:ascii="Times New Roman" w:hAnsi="Times New Roman" w:cs="Times New Roman"/>
          <w:sz w:val="28"/>
          <w:szCs w:val="28"/>
        </w:rPr>
      </w:pPr>
      <w:r w:rsidRPr="009D0FFA">
        <w:rPr>
          <w:rFonts w:ascii="Times New Roman" w:hAnsi="Times New Roman" w:cs="Times New Roman"/>
          <w:sz w:val="28"/>
          <w:szCs w:val="28"/>
        </w:rPr>
        <w:t xml:space="preserve">Deterministic physiological thresholds, system integrity checks, and </w:t>
      </w:r>
      <w:r w:rsidRPr="009D0FFA">
        <w:rPr>
          <w:rFonts w:ascii="Times New Roman" w:hAnsi="Times New Roman" w:cs="Times New Roman"/>
          <w:b/>
          <w:bCs/>
          <w:sz w:val="28"/>
          <w:szCs w:val="28"/>
        </w:rPr>
        <w:t>active operator authorization</w:t>
      </w:r>
      <w:r w:rsidRPr="009D0FFA">
        <w:rPr>
          <w:rFonts w:ascii="Times New Roman" w:hAnsi="Times New Roman" w:cs="Times New Roman"/>
          <w:sz w:val="28"/>
          <w:szCs w:val="28"/>
        </w:rPr>
        <w:t xml:space="preserve"> remain the final gatekeepers of any actuation.</w:t>
      </w:r>
    </w:p>
    <w:p w14:paraId="7CAC895A" w14:textId="050EE394" w:rsidR="0032737D" w:rsidRDefault="009D0FFA" w:rsidP="00F41EE8">
      <w:pPr>
        <w:spacing w:after="0"/>
        <w:rPr>
          <w:rFonts w:ascii="Times New Roman" w:hAnsi="Times New Roman" w:cs="Times New Roman"/>
          <w:sz w:val="28"/>
          <w:szCs w:val="28"/>
        </w:rPr>
      </w:pPr>
      <w:r w:rsidRPr="009D0FFA">
        <w:rPr>
          <w:rFonts w:ascii="Times New Roman" w:hAnsi="Times New Roman" w:cs="Times New Roman"/>
          <w:sz w:val="28"/>
          <w:szCs w:val="28"/>
        </w:rPr>
        <w:t xml:space="preserve">In the absence of multi-modal concurrence, valid consent state, or intact sensor integrity, the system defaults to </w:t>
      </w:r>
      <w:r w:rsidRPr="009D0FFA">
        <w:rPr>
          <w:rFonts w:ascii="Times New Roman" w:hAnsi="Times New Roman" w:cs="Times New Roman"/>
          <w:b/>
          <w:bCs/>
          <w:sz w:val="28"/>
          <w:szCs w:val="28"/>
        </w:rPr>
        <w:t>non-intervention</w:t>
      </w:r>
      <w:r w:rsidRPr="009D0FFA">
        <w:rPr>
          <w:rFonts w:ascii="Times New Roman" w:hAnsi="Times New Roman" w:cs="Times New Roman"/>
          <w:sz w:val="28"/>
          <w:szCs w:val="28"/>
        </w:rPr>
        <w:t xml:space="preserve"> and continues passive monitoring only.</w:t>
      </w:r>
    </w:p>
    <w:p w14:paraId="75A04904" w14:textId="77777777" w:rsidR="0032737D" w:rsidRDefault="0032737D" w:rsidP="00F41EE8">
      <w:pPr>
        <w:spacing w:after="0"/>
        <w:rPr>
          <w:rFonts w:ascii="Times New Roman" w:hAnsi="Times New Roman" w:cs="Times New Roman"/>
          <w:sz w:val="28"/>
          <w:szCs w:val="28"/>
        </w:rPr>
      </w:pPr>
    </w:p>
    <w:p w14:paraId="5D740AA5" w14:textId="1DFA40A3" w:rsidR="0032737D" w:rsidRPr="009D0FFA" w:rsidRDefault="0032737D" w:rsidP="00F41EE8">
      <w:pPr>
        <w:spacing w:after="0"/>
        <w:rPr>
          <w:rFonts w:ascii="Times New Roman" w:hAnsi="Times New Roman" w:cs="Times New Roman"/>
          <w:sz w:val="28"/>
          <w:szCs w:val="28"/>
        </w:rPr>
      </w:pPr>
      <w:r w:rsidRPr="0032737D">
        <w:rPr>
          <w:rFonts w:ascii="Times New Roman" w:hAnsi="Times New Roman" w:cs="Times New Roman"/>
          <w:sz w:val="28"/>
          <w:szCs w:val="28"/>
        </w:rPr>
        <w:t>Non-activation does not imply absence of injury, physiological escalation, or protection. CERBERUS is conservative by design and may fail silently under sensor degradation, ambiguous signals, or rapid-onset injury that exceeds detection latency.</w:t>
      </w:r>
    </w:p>
    <w:p w14:paraId="7379B660" w14:textId="77777777" w:rsidR="009D0FFA" w:rsidRPr="009D0FFA" w:rsidRDefault="009D0FFA" w:rsidP="009D0FFA">
      <w:pPr>
        <w:pBdr>
          <w:bottom w:val="single" w:sz="4" w:space="1" w:color="auto"/>
        </w:pBdr>
        <w:rPr>
          <w:rFonts w:ascii="Times New Roman" w:hAnsi="Times New Roman" w:cs="Times New Roman"/>
          <w:sz w:val="28"/>
          <w:szCs w:val="28"/>
        </w:rPr>
      </w:pPr>
    </w:p>
    <w:p w14:paraId="44BC789A" w14:textId="77777777" w:rsidR="009D0FFA" w:rsidRPr="009D0FFA" w:rsidRDefault="009D0FFA" w:rsidP="009D0FFA">
      <w:pPr>
        <w:spacing w:before="240"/>
        <w:rPr>
          <w:rFonts w:ascii="Times New Roman" w:hAnsi="Times New Roman" w:cs="Times New Roman"/>
          <w:b/>
          <w:bCs/>
          <w:sz w:val="34"/>
          <w:szCs w:val="34"/>
        </w:rPr>
      </w:pPr>
      <w:r w:rsidRPr="009D0FFA">
        <w:rPr>
          <w:rFonts w:ascii="Times New Roman" w:hAnsi="Times New Roman" w:cs="Times New Roman"/>
          <w:b/>
          <w:bCs/>
          <w:sz w:val="34"/>
          <w:szCs w:val="34"/>
        </w:rPr>
        <w:t>4. Microneedle Physics, Chemistry, and Adult Dermal Pharmacokinetics (Narrative Form)</w:t>
      </w:r>
    </w:p>
    <w:p w14:paraId="0D6B8B2F"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Geometry and Mechanical Properties</w:t>
      </w:r>
    </w:p>
    <w:p w14:paraId="71C7386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employs conical, polymer-based microneedle (MN) arrays optimized for </w:t>
      </w:r>
      <w:r w:rsidRPr="009D0FFA">
        <w:rPr>
          <w:rFonts w:ascii="Times New Roman" w:hAnsi="Times New Roman" w:cs="Times New Roman"/>
          <w:b/>
          <w:bCs/>
          <w:sz w:val="28"/>
          <w:szCs w:val="28"/>
        </w:rPr>
        <w:t>adult dermal architecture</w:t>
      </w:r>
      <w:r w:rsidRPr="009D0FFA">
        <w:rPr>
          <w:rFonts w:ascii="Times New Roman" w:hAnsi="Times New Roman" w:cs="Times New Roman"/>
          <w:sz w:val="28"/>
          <w:szCs w:val="28"/>
        </w:rPr>
        <w:t xml:space="preserve">. Individual needles measure approximately </w:t>
      </w:r>
      <w:r w:rsidRPr="009D0FFA">
        <w:rPr>
          <w:rFonts w:ascii="Times New Roman" w:hAnsi="Times New Roman" w:cs="Times New Roman"/>
          <w:b/>
          <w:bCs/>
          <w:sz w:val="28"/>
          <w:szCs w:val="28"/>
        </w:rPr>
        <w:t>100–150 µm at the base</w:t>
      </w:r>
      <w:r w:rsidRPr="009D0FFA">
        <w:rPr>
          <w:rFonts w:ascii="Times New Roman" w:hAnsi="Times New Roman" w:cs="Times New Roman"/>
          <w:sz w:val="28"/>
          <w:szCs w:val="28"/>
        </w:rPr>
        <w:t xml:space="preserve"> and </w:t>
      </w:r>
      <w:r w:rsidRPr="009D0FFA">
        <w:rPr>
          <w:rFonts w:ascii="Times New Roman" w:hAnsi="Times New Roman" w:cs="Times New Roman"/>
          <w:b/>
          <w:bCs/>
          <w:sz w:val="28"/>
          <w:szCs w:val="28"/>
        </w:rPr>
        <w:t>250 ± 50 µm in height</w:t>
      </w:r>
      <w:r w:rsidRPr="009D0FFA">
        <w:rPr>
          <w:rFonts w:ascii="Times New Roman" w:hAnsi="Times New Roman" w:cs="Times New Roman"/>
          <w:sz w:val="28"/>
          <w:szCs w:val="28"/>
        </w:rPr>
        <w:t xml:space="preserve">, with </w:t>
      </w:r>
      <w:r w:rsidRPr="009D0FFA">
        <w:rPr>
          <w:rFonts w:ascii="Times New Roman" w:hAnsi="Times New Roman" w:cs="Times New Roman"/>
          <w:b/>
          <w:bCs/>
          <w:sz w:val="28"/>
          <w:szCs w:val="28"/>
        </w:rPr>
        <w:t>200 µm inter-needle spacing</w:t>
      </w:r>
      <w:r w:rsidRPr="009D0FFA">
        <w:rPr>
          <w:rFonts w:ascii="Times New Roman" w:hAnsi="Times New Roman" w:cs="Times New Roman"/>
          <w:sz w:val="28"/>
          <w:szCs w:val="28"/>
        </w:rPr>
        <w:t xml:space="preserve">. Composite Young’s modulus values (1–5 </w:t>
      </w:r>
      <w:proofErr w:type="spellStart"/>
      <w:r w:rsidRPr="009D0FFA">
        <w:rPr>
          <w:rFonts w:ascii="Times New Roman" w:hAnsi="Times New Roman" w:cs="Times New Roman"/>
          <w:sz w:val="28"/>
          <w:szCs w:val="28"/>
        </w:rPr>
        <w:t>GPa</w:t>
      </w:r>
      <w:proofErr w:type="spellEnd"/>
      <w:r w:rsidRPr="009D0FFA">
        <w:rPr>
          <w:rFonts w:ascii="Times New Roman" w:hAnsi="Times New Roman" w:cs="Times New Roman"/>
          <w:sz w:val="28"/>
          <w:szCs w:val="28"/>
        </w:rPr>
        <w:t>; PVA/HA blends) provide sufficient mechanical strength for consistent stratum corneum penetration while remaining below thresholds associated with nociceptive activation.</w:t>
      </w:r>
    </w:p>
    <w:p w14:paraId="02CAC4D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Insertion forces are maintained below </w:t>
      </w:r>
      <w:r w:rsidRPr="009D0FFA">
        <w:rPr>
          <w:rFonts w:ascii="Times New Roman" w:hAnsi="Times New Roman" w:cs="Times New Roman"/>
          <w:b/>
          <w:bCs/>
          <w:sz w:val="28"/>
          <w:szCs w:val="28"/>
        </w:rPr>
        <w:t>0.1 N per needle</w:t>
      </w:r>
      <w:r w:rsidRPr="009D0FFA">
        <w:rPr>
          <w:rFonts w:ascii="Times New Roman" w:hAnsi="Times New Roman" w:cs="Times New Roman"/>
          <w:sz w:val="28"/>
          <w:szCs w:val="28"/>
        </w:rPr>
        <w:t>, enabling reliable deployment without inducing pain responses, motor disruption, or cognitive distraction—an essential constraint for operational environments.</w:t>
      </w:r>
    </w:p>
    <w:p w14:paraId="37ED6F33"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Dissolution and Release Characteristics</w:t>
      </w:r>
    </w:p>
    <w:p w14:paraId="2ACFD93D"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Two microneedle configurations are supported:</w:t>
      </w:r>
    </w:p>
    <w:p w14:paraId="02CDBE40" w14:textId="77777777" w:rsidR="009D0FFA" w:rsidRPr="009D0FFA" w:rsidRDefault="009D0FFA" w:rsidP="009D0FFA">
      <w:pPr>
        <w:numPr>
          <w:ilvl w:val="0"/>
          <w:numId w:val="11"/>
        </w:numPr>
        <w:rPr>
          <w:rFonts w:ascii="Times New Roman" w:hAnsi="Times New Roman" w:cs="Times New Roman"/>
          <w:sz w:val="28"/>
          <w:szCs w:val="28"/>
        </w:rPr>
      </w:pPr>
      <w:r w:rsidRPr="009D0FFA">
        <w:rPr>
          <w:rFonts w:ascii="Times New Roman" w:hAnsi="Times New Roman" w:cs="Times New Roman"/>
          <w:b/>
          <w:bCs/>
          <w:sz w:val="28"/>
          <w:szCs w:val="28"/>
        </w:rPr>
        <w:t>Electroactive coated MNs</w:t>
      </w:r>
      <w:r w:rsidRPr="009D0FFA">
        <w:rPr>
          <w:rFonts w:ascii="Times New Roman" w:hAnsi="Times New Roman" w:cs="Times New Roman"/>
          <w:sz w:val="28"/>
          <w:szCs w:val="28"/>
        </w:rPr>
        <w:t>, which release peptide payloads rapidly (≈95% within ~5 seconds) following brief, low-voltage activation</w:t>
      </w:r>
    </w:p>
    <w:p w14:paraId="2A083C7F" w14:textId="77777777" w:rsidR="009D0FFA" w:rsidRPr="009D0FFA" w:rsidRDefault="009D0FFA" w:rsidP="009D0FFA">
      <w:pPr>
        <w:numPr>
          <w:ilvl w:val="0"/>
          <w:numId w:val="11"/>
        </w:numPr>
        <w:rPr>
          <w:rFonts w:ascii="Times New Roman" w:hAnsi="Times New Roman" w:cs="Times New Roman"/>
          <w:sz w:val="28"/>
          <w:szCs w:val="28"/>
        </w:rPr>
      </w:pPr>
      <w:r w:rsidRPr="009D0FFA">
        <w:rPr>
          <w:rFonts w:ascii="Times New Roman" w:hAnsi="Times New Roman" w:cs="Times New Roman"/>
          <w:b/>
          <w:bCs/>
          <w:sz w:val="28"/>
          <w:szCs w:val="28"/>
        </w:rPr>
        <w:lastRenderedPageBreak/>
        <w:t>Dissolving hyaluronic-acid MNs</w:t>
      </w:r>
      <w:r w:rsidRPr="009D0FFA">
        <w:rPr>
          <w:rFonts w:ascii="Times New Roman" w:hAnsi="Times New Roman" w:cs="Times New Roman"/>
          <w:sz w:val="28"/>
          <w:szCs w:val="28"/>
        </w:rPr>
        <w:t xml:space="preserve">, which swell and dissolve under physiological pH (&gt;6.5), releasing payloads over approximately </w:t>
      </w:r>
      <w:r w:rsidRPr="009D0FFA">
        <w:rPr>
          <w:rFonts w:ascii="Times New Roman" w:hAnsi="Times New Roman" w:cs="Times New Roman"/>
          <w:b/>
          <w:bCs/>
          <w:sz w:val="28"/>
          <w:szCs w:val="28"/>
        </w:rPr>
        <w:t>3–8 minutes</w:t>
      </w:r>
    </w:p>
    <w:p w14:paraId="1905A42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Peptide stability is preserved using established excipients, including </w:t>
      </w:r>
      <w:r w:rsidRPr="009D0FFA">
        <w:rPr>
          <w:rFonts w:ascii="Times New Roman" w:hAnsi="Times New Roman" w:cs="Times New Roman"/>
          <w:b/>
          <w:bCs/>
          <w:sz w:val="28"/>
          <w:szCs w:val="28"/>
        </w:rPr>
        <w:t>trehalose</w:t>
      </w:r>
      <w:r w:rsidRPr="009D0FFA">
        <w:rPr>
          <w:rFonts w:ascii="Times New Roman" w:hAnsi="Times New Roman" w:cs="Times New Roman"/>
          <w:sz w:val="28"/>
          <w:szCs w:val="28"/>
        </w:rPr>
        <w:t xml:space="preserve"> for BPC-157 and </w:t>
      </w:r>
      <w:r w:rsidRPr="009D0FFA">
        <w:rPr>
          <w:rFonts w:ascii="Times New Roman" w:hAnsi="Times New Roman" w:cs="Times New Roman"/>
          <w:b/>
          <w:bCs/>
          <w:sz w:val="28"/>
          <w:szCs w:val="28"/>
        </w:rPr>
        <w:t>Zn²⁺ coordination</w:t>
      </w:r>
      <w:r w:rsidRPr="009D0FFA">
        <w:rPr>
          <w:rFonts w:ascii="Times New Roman" w:hAnsi="Times New Roman" w:cs="Times New Roman"/>
          <w:sz w:val="28"/>
          <w:szCs w:val="28"/>
        </w:rPr>
        <w:t xml:space="preserve"> for TB-500, maintaining </w:t>
      </w:r>
      <w:r w:rsidRPr="009D0FFA">
        <w:rPr>
          <w:rFonts w:ascii="Times New Roman" w:hAnsi="Times New Roman" w:cs="Times New Roman"/>
          <w:b/>
          <w:bCs/>
          <w:sz w:val="28"/>
          <w:szCs w:val="28"/>
        </w:rPr>
        <w:t>≥97–99% molecular integrity</w:t>
      </w:r>
      <w:r w:rsidRPr="009D0FFA">
        <w:rPr>
          <w:rFonts w:ascii="Times New Roman" w:hAnsi="Times New Roman" w:cs="Times New Roman"/>
          <w:sz w:val="28"/>
          <w:szCs w:val="28"/>
        </w:rPr>
        <w:t xml:space="preserve"> under accelerated storage and thermal stress conditions relevant to field deployment.</w:t>
      </w:r>
    </w:p>
    <w:p w14:paraId="0877A971"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Pharmacokinetic Interpretation (Non-Equation Form)</w:t>
      </w:r>
    </w:p>
    <w:p w14:paraId="71AC00C8"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Following MN administration, peptide absorption follows </w:t>
      </w:r>
      <w:r w:rsidRPr="009D0FFA">
        <w:rPr>
          <w:rFonts w:ascii="Times New Roman" w:hAnsi="Times New Roman" w:cs="Times New Roman"/>
          <w:b/>
          <w:bCs/>
          <w:sz w:val="28"/>
          <w:szCs w:val="28"/>
        </w:rPr>
        <w:t>first-order kinetics</w:t>
      </w:r>
      <w:r w:rsidRPr="009D0FFA">
        <w:rPr>
          <w:rFonts w:ascii="Times New Roman" w:hAnsi="Times New Roman" w:cs="Times New Roman"/>
          <w:sz w:val="28"/>
          <w:szCs w:val="28"/>
        </w:rPr>
        <w:t xml:space="preserve"> consistent with established extravascular delivery models. Bioavailability via the MN route is high (mean ≈88%, with modest inter-individual variance), reflecting efficient dermal uptake and minimal first-pass metabolic loss.</w:t>
      </w:r>
    </w:p>
    <w:p w14:paraId="6EA6E35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For BPC-157, peak plasma concentrations are typically observed within </w:t>
      </w:r>
      <w:r w:rsidRPr="009D0FFA">
        <w:rPr>
          <w:rFonts w:ascii="Times New Roman" w:hAnsi="Times New Roman" w:cs="Times New Roman"/>
          <w:b/>
          <w:bCs/>
          <w:sz w:val="28"/>
          <w:szCs w:val="28"/>
        </w:rPr>
        <w:t>~10–15 minutes</w:t>
      </w:r>
      <w:r w:rsidRPr="009D0FFA">
        <w:rPr>
          <w:rFonts w:ascii="Times New Roman" w:hAnsi="Times New Roman" w:cs="Times New Roman"/>
          <w:sz w:val="28"/>
          <w:szCs w:val="28"/>
        </w:rPr>
        <w:t xml:space="preserve"> after delivery, consistent with rapid absorption from a localized dermal </w:t>
      </w:r>
      <w:proofErr w:type="spellStart"/>
      <w:r w:rsidRPr="009D0FFA">
        <w:rPr>
          <w:rFonts w:ascii="Times New Roman" w:hAnsi="Times New Roman" w:cs="Times New Roman"/>
          <w:sz w:val="28"/>
          <w:szCs w:val="28"/>
        </w:rPr>
        <w:t>microdepot</w:t>
      </w:r>
      <w:proofErr w:type="spellEnd"/>
      <w:r w:rsidRPr="009D0FFA">
        <w:rPr>
          <w:rFonts w:ascii="Times New Roman" w:hAnsi="Times New Roman" w:cs="Times New Roman"/>
          <w:sz w:val="28"/>
          <w:szCs w:val="28"/>
        </w:rPr>
        <w:t xml:space="preserve">. At representative adult microgram-scale doses, peak concentrations remain within the </w:t>
      </w:r>
      <w:r w:rsidRPr="009D0FFA">
        <w:rPr>
          <w:rFonts w:ascii="Times New Roman" w:hAnsi="Times New Roman" w:cs="Times New Roman"/>
          <w:b/>
          <w:bCs/>
          <w:sz w:val="28"/>
          <w:szCs w:val="28"/>
        </w:rPr>
        <w:t>low nanogram per milliliter range</w:t>
      </w:r>
      <w:r w:rsidRPr="009D0FFA">
        <w:rPr>
          <w:rFonts w:ascii="Times New Roman" w:hAnsi="Times New Roman" w:cs="Times New Roman"/>
          <w:sz w:val="28"/>
          <w:szCs w:val="28"/>
        </w:rPr>
        <w:t>, well below conservative toxicity thresholds derived from preclinical data.</w:t>
      </w:r>
    </w:p>
    <w:p w14:paraId="136CE6B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Incorporation of a </w:t>
      </w:r>
      <w:r w:rsidRPr="009D0FFA">
        <w:rPr>
          <w:rFonts w:ascii="Times New Roman" w:hAnsi="Times New Roman" w:cs="Times New Roman"/>
          <w:b/>
          <w:bCs/>
          <w:sz w:val="28"/>
          <w:szCs w:val="28"/>
        </w:rPr>
        <w:t>high–molecular-weight methylcellulose matrix</w:t>
      </w:r>
      <w:r w:rsidRPr="009D0FFA">
        <w:rPr>
          <w:rFonts w:ascii="Times New Roman" w:hAnsi="Times New Roman" w:cs="Times New Roman"/>
          <w:sz w:val="28"/>
          <w:szCs w:val="28"/>
        </w:rPr>
        <w:t xml:space="preserve"> slows diffusion from the dermal depot, extending the apparent terminal exposure window to approximately </w:t>
      </w:r>
      <w:r w:rsidRPr="009D0FFA">
        <w:rPr>
          <w:rFonts w:ascii="Times New Roman" w:hAnsi="Times New Roman" w:cs="Times New Roman"/>
          <w:b/>
          <w:bCs/>
          <w:sz w:val="28"/>
          <w:szCs w:val="28"/>
        </w:rPr>
        <w:t>7–9 hours</w:t>
      </w:r>
      <w:r w:rsidRPr="009D0FFA">
        <w:rPr>
          <w:rFonts w:ascii="Times New Roman" w:hAnsi="Times New Roman" w:cs="Times New Roman"/>
          <w:sz w:val="28"/>
          <w:szCs w:val="28"/>
        </w:rPr>
        <w:t xml:space="preserve">. This prolongation reflects </w:t>
      </w:r>
      <w:r w:rsidRPr="009D0FFA">
        <w:rPr>
          <w:rFonts w:ascii="Times New Roman" w:hAnsi="Times New Roman" w:cs="Times New Roman"/>
          <w:b/>
          <w:bCs/>
          <w:sz w:val="28"/>
          <w:szCs w:val="28"/>
        </w:rPr>
        <w:t>absorption-limited release</w:t>
      </w:r>
      <w:r w:rsidRPr="009D0FFA">
        <w:rPr>
          <w:rFonts w:ascii="Times New Roman" w:hAnsi="Times New Roman" w:cs="Times New Roman"/>
          <w:sz w:val="28"/>
          <w:szCs w:val="28"/>
        </w:rPr>
        <w:t>, not altered systemic clearance or prolonged pharmacodynamic action.</w:t>
      </w:r>
    </w:p>
    <w:p w14:paraId="53DBA710"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Safety Envelope</w:t>
      </w:r>
    </w:p>
    <w:p w14:paraId="2CA4ED9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Dermal effects are transient and mild, characterized by short-lived increases in </w:t>
      </w:r>
      <w:proofErr w:type="spellStart"/>
      <w:r w:rsidRPr="009D0FFA">
        <w:rPr>
          <w:rFonts w:ascii="Times New Roman" w:hAnsi="Times New Roman" w:cs="Times New Roman"/>
          <w:sz w:val="28"/>
          <w:szCs w:val="28"/>
        </w:rPr>
        <w:t>transepidermal</w:t>
      </w:r>
      <w:proofErr w:type="spellEnd"/>
      <w:r w:rsidRPr="009D0FFA">
        <w:rPr>
          <w:rFonts w:ascii="Times New Roman" w:hAnsi="Times New Roman" w:cs="Times New Roman"/>
          <w:sz w:val="28"/>
          <w:szCs w:val="28"/>
        </w:rPr>
        <w:t xml:space="preserve"> water loss (&lt;20%) without sustained erythema, edema, or barrier disruption across preclinical skin models.</w:t>
      </w:r>
    </w:p>
    <w:p w14:paraId="4E3AF54C"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Systemic safety margins remain wide, with operational exposure caps set at least </w:t>
      </w:r>
      <w:r w:rsidRPr="009D0FFA">
        <w:rPr>
          <w:rFonts w:ascii="Times New Roman" w:hAnsi="Times New Roman" w:cs="Times New Roman"/>
          <w:b/>
          <w:bCs/>
          <w:sz w:val="28"/>
          <w:szCs w:val="28"/>
        </w:rPr>
        <w:t>an order of magnitude below conservative toxicity thresholds</w:t>
      </w:r>
      <w:r w:rsidRPr="009D0FFA">
        <w:rPr>
          <w:rFonts w:ascii="Times New Roman" w:hAnsi="Times New Roman" w:cs="Times New Roman"/>
          <w:sz w:val="28"/>
          <w:szCs w:val="28"/>
        </w:rPr>
        <w:t xml:space="preserve"> extrapolated from animal studies. No sedative, dissociative, or performance-impairing effects are expected within the defined operating window.</w:t>
      </w:r>
    </w:p>
    <w:p w14:paraId="46E136BB"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Fail-Silent Enforcement</w:t>
      </w:r>
    </w:p>
    <w:p w14:paraId="48FD80C5"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lastRenderedPageBreak/>
        <w:t>Microneedle actuation is contingent upon the simultaneous presence of:</w:t>
      </w:r>
    </w:p>
    <w:p w14:paraId="4041E16E" w14:textId="77777777" w:rsidR="009D0FFA" w:rsidRPr="009D0FFA" w:rsidRDefault="009D0FFA" w:rsidP="009D0FFA">
      <w:pPr>
        <w:numPr>
          <w:ilvl w:val="0"/>
          <w:numId w:val="12"/>
        </w:numPr>
        <w:rPr>
          <w:rFonts w:ascii="Times New Roman" w:hAnsi="Times New Roman" w:cs="Times New Roman"/>
          <w:sz w:val="28"/>
          <w:szCs w:val="28"/>
        </w:rPr>
      </w:pPr>
      <w:r w:rsidRPr="009D0FFA">
        <w:rPr>
          <w:rFonts w:ascii="Times New Roman" w:hAnsi="Times New Roman" w:cs="Times New Roman"/>
          <w:b/>
          <w:bCs/>
          <w:sz w:val="28"/>
          <w:szCs w:val="28"/>
        </w:rPr>
        <w:t>Active, operator-initiated authorization</w:t>
      </w:r>
    </w:p>
    <w:p w14:paraId="3A7206F6" w14:textId="77777777" w:rsidR="009D0FFA" w:rsidRPr="009D0FFA" w:rsidRDefault="009D0FFA" w:rsidP="009D0FFA">
      <w:pPr>
        <w:numPr>
          <w:ilvl w:val="0"/>
          <w:numId w:val="12"/>
        </w:numPr>
        <w:rPr>
          <w:rFonts w:ascii="Times New Roman" w:hAnsi="Times New Roman" w:cs="Times New Roman"/>
          <w:sz w:val="28"/>
          <w:szCs w:val="28"/>
        </w:rPr>
      </w:pPr>
      <w:r w:rsidRPr="009D0FFA">
        <w:rPr>
          <w:rFonts w:ascii="Times New Roman" w:hAnsi="Times New Roman" w:cs="Times New Roman"/>
          <w:b/>
          <w:bCs/>
          <w:sz w:val="28"/>
          <w:szCs w:val="28"/>
        </w:rPr>
        <w:t>Multi-modal Red-state physiological concurrence</w:t>
      </w:r>
    </w:p>
    <w:p w14:paraId="4381E894" w14:textId="77777777" w:rsidR="009D0FFA" w:rsidRPr="009D0FFA" w:rsidRDefault="009D0FFA" w:rsidP="009D0FFA">
      <w:pPr>
        <w:numPr>
          <w:ilvl w:val="0"/>
          <w:numId w:val="12"/>
        </w:numPr>
        <w:rPr>
          <w:rFonts w:ascii="Times New Roman" w:hAnsi="Times New Roman" w:cs="Times New Roman"/>
          <w:sz w:val="28"/>
          <w:szCs w:val="28"/>
        </w:rPr>
      </w:pPr>
      <w:r w:rsidRPr="009D0FFA">
        <w:rPr>
          <w:rFonts w:ascii="Times New Roman" w:hAnsi="Times New Roman" w:cs="Times New Roman"/>
          <w:b/>
          <w:bCs/>
          <w:sz w:val="28"/>
          <w:szCs w:val="28"/>
        </w:rPr>
        <w:t>Validated sensor integrity</w:t>
      </w:r>
    </w:p>
    <w:p w14:paraId="69C44E1B" w14:textId="77777777" w:rsidR="009D0FFA" w:rsidRPr="009D0FFA" w:rsidRDefault="009D0FFA" w:rsidP="009D0FFA">
      <w:pPr>
        <w:numPr>
          <w:ilvl w:val="0"/>
          <w:numId w:val="12"/>
        </w:numPr>
        <w:rPr>
          <w:rFonts w:ascii="Times New Roman" w:hAnsi="Times New Roman" w:cs="Times New Roman"/>
          <w:sz w:val="28"/>
          <w:szCs w:val="28"/>
        </w:rPr>
      </w:pPr>
      <w:r w:rsidRPr="009D0FFA">
        <w:rPr>
          <w:rFonts w:ascii="Times New Roman" w:hAnsi="Times New Roman" w:cs="Times New Roman"/>
          <w:b/>
          <w:bCs/>
          <w:sz w:val="28"/>
          <w:szCs w:val="28"/>
        </w:rPr>
        <w:t>Intact power and firmware status</w:t>
      </w:r>
    </w:p>
    <w:p w14:paraId="2AF54192" w14:textId="77777777" w:rsid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Absence or failure of any condition results in </w:t>
      </w:r>
      <w:r w:rsidRPr="009D0FFA">
        <w:rPr>
          <w:rFonts w:ascii="Times New Roman" w:hAnsi="Times New Roman" w:cs="Times New Roman"/>
          <w:b/>
          <w:bCs/>
          <w:sz w:val="28"/>
          <w:szCs w:val="28"/>
        </w:rPr>
        <w:t>non-intervention</w:t>
      </w:r>
      <w:r w:rsidRPr="009D0FFA">
        <w:rPr>
          <w:rFonts w:ascii="Times New Roman" w:hAnsi="Times New Roman" w:cs="Times New Roman"/>
          <w:sz w:val="28"/>
          <w:szCs w:val="28"/>
        </w:rPr>
        <w:t>, with the system reverting to passive monitoring only. No queued, delayed, or retrospective actuation is permitted.</w:t>
      </w:r>
    </w:p>
    <w:p w14:paraId="7179241C" w14:textId="54F666DF" w:rsidR="003C0297" w:rsidRDefault="003C0297" w:rsidP="00F41EE8">
      <w:pPr>
        <w:spacing w:after="0"/>
        <w:rPr>
          <w:rFonts w:ascii="Times New Roman" w:hAnsi="Times New Roman" w:cs="Times New Roman"/>
          <w:sz w:val="28"/>
          <w:szCs w:val="28"/>
        </w:rPr>
      </w:pPr>
      <w:r w:rsidRPr="003C0297">
        <w:rPr>
          <w:rFonts w:ascii="Times New Roman" w:hAnsi="Times New Roman" w:cs="Times New Roman"/>
          <w:sz w:val="28"/>
          <w:szCs w:val="28"/>
        </w:rPr>
        <w:t>Consistent with the C.H.I.L.D. framework, CERBERUS employs silent state signals that record eligibility, actuation, and failure-mode collapse without generating real-time alerts or operator distraction during active engagement.</w:t>
      </w:r>
    </w:p>
    <w:p w14:paraId="15E03871" w14:textId="77777777" w:rsidR="008F70A8" w:rsidRDefault="008F70A8" w:rsidP="00F41EE8">
      <w:pPr>
        <w:spacing w:after="0"/>
        <w:rPr>
          <w:rFonts w:ascii="Times New Roman" w:hAnsi="Times New Roman" w:cs="Times New Roman"/>
          <w:sz w:val="28"/>
          <w:szCs w:val="28"/>
        </w:rPr>
      </w:pPr>
    </w:p>
    <w:p w14:paraId="4121C04B" w14:textId="77777777" w:rsidR="008F70A8" w:rsidRDefault="008F70A8" w:rsidP="00F41EE8">
      <w:pPr>
        <w:spacing w:after="0"/>
        <w:rPr>
          <w:rFonts w:ascii="Times New Roman" w:hAnsi="Times New Roman" w:cs="Times New Roman"/>
          <w:b/>
          <w:bCs/>
          <w:sz w:val="34"/>
          <w:szCs w:val="34"/>
        </w:rPr>
      </w:pPr>
      <w:r w:rsidRPr="008F70A8">
        <w:rPr>
          <w:rFonts w:ascii="Times New Roman" w:hAnsi="Times New Roman" w:cs="Times New Roman"/>
          <w:b/>
          <w:bCs/>
          <w:sz w:val="34"/>
          <w:szCs w:val="34"/>
        </w:rPr>
        <w:t>Redundant Cartridge / Unit Provisioning (Operational Continuity)</w:t>
      </w:r>
    </w:p>
    <w:p w14:paraId="5BC4A2A6" w14:textId="46DAC2C8" w:rsidR="008F70A8" w:rsidRPr="009D0FFA" w:rsidRDefault="008F70A8" w:rsidP="00F41EE8">
      <w:pPr>
        <w:spacing w:after="0"/>
        <w:rPr>
          <w:rFonts w:ascii="Times New Roman" w:hAnsi="Times New Roman" w:cs="Times New Roman"/>
          <w:sz w:val="28"/>
          <w:szCs w:val="28"/>
        </w:rPr>
      </w:pPr>
      <w:r w:rsidRPr="008F70A8">
        <w:rPr>
          <w:rFonts w:ascii="Times New Roman" w:hAnsi="Times New Roman" w:cs="Times New Roman"/>
          <w:sz w:val="28"/>
          <w:szCs w:val="28"/>
        </w:rPr>
        <w:br/>
        <w:t>To preserve functionality under equipment loss, sensor integrity collapse, or payload depletion, CERBERUS may support issuance of a single sealed, preloaded redundant unit (or sealed cartridge) per operator. This redundancy exists strictly to maintain one-event availability under field degradation and does not expand the operational dosing envelope. Activation limits, event caps, and cumulative exposure ceilings remain invariant across primary and spare units. Spare units are treated as controlled safety modules: sealed, tamper-evident, serialized, and auditable. Unlogged transfer, informal swapping, or multi-unit stacking within a single escalation interval is structurally disallowed.</w:t>
      </w:r>
    </w:p>
    <w:p w14:paraId="1BFCCBE2" w14:textId="77777777" w:rsidR="009D0FFA" w:rsidRPr="009D0FFA" w:rsidRDefault="009D0FFA" w:rsidP="009D0FFA">
      <w:pPr>
        <w:pBdr>
          <w:bottom w:val="single" w:sz="4" w:space="1" w:color="auto"/>
        </w:pBdr>
        <w:rPr>
          <w:rFonts w:ascii="Times New Roman" w:hAnsi="Times New Roman" w:cs="Times New Roman"/>
          <w:sz w:val="28"/>
          <w:szCs w:val="28"/>
        </w:rPr>
      </w:pPr>
    </w:p>
    <w:p w14:paraId="5DCD914D" w14:textId="77777777" w:rsidR="009D0FFA" w:rsidRPr="009D0FFA" w:rsidRDefault="009D0FFA" w:rsidP="009D0FFA">
      <w:pPr>
        <w:spacing w:after="0"/>
        <w:rPr>
          <w:rFonts w:ascii="Times New Roman" w:hAnsi="Times New Roman" w:cs="Times New Roman"/>
          <w:sz w:val="28"/>
          <w:szCs w:val="28"/>
        </w:rPr>
      </w:pPr>
    </w:p>
    <w:p w14:paraId="5579A5B8" w14:textId="70D6F8A1"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5. Closed-Loop System Dynamics</w:t>
      </w:r>
    </w:p>
    <w:p w14:paraId="36D775F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employs a </w:t>
      </w:r>
      <w:r w:rsidRPr="009D0FFA">
        <w:rPr>
          <w:rFonts w:ascii="Times New Roman" w:hAnsi="Times New Roman" w:cs="Times New Roman"/>
          <w:b/>
          <w:bCs/>
          <w:sz w:val="28"/>
          <w:szCs w:val="28"/>
        </w:rPr>
        <w:t>bounded, event-limited feedback architecture</w:t>
      </w:r>
      <w:r w:rsidRPr="009D0FFA">
        <w:rPr>
          <w:rFonts w:ascii="Times New Roman" w:hAnsi="Times New Roman" w:cs="Times New Roman"/>
          <w:sz w:val="28"/>
          <w:szCs w:val="28"/>
        </w:rPr>
        <w:t xml:space="preserve"> designed to operate only within </w:t>
      </w:r>
      <w:r w:rsidRPr="009D0FFA">
        <w:rPr>
          <w:rFonts w:ascii="Times New Roman" w:hAnsi="Times New Roman" w:cs="Times New Roman"/>
          <w:b/>
          <w:bCs/>
          <w:sz w:val="28"/>
          <w:szCs w:val="28"/>
        </w:rPr>
        <w:t>narrowly defined acute escalation windows</w:t>
      </w:r>
      <w:r w:rsidRPr="009D0FFA">
        <w:rPr>
          <w:rFonts w:ascii="Times New Roman" w:hAnsi="Times New Roman" w:cs="Times New Roman"/>
          <w:sz w:val="28"/>
          <w:szCs w:val="28"/>
        </w:rPr>
        <w:t xml:space="preserve">. The system </w:t>
      </w:r>
      <w:r w:rsidRPr="009D0FFA">
        <w:rPr>
          <w:rFonts w:ascii="Times New Roman" w:hAnsi="Times New Roman" w:cs="Times New Roman"/>
          <w:sz w:val="28"/>
          <w:szCs w:val="28"/>
        </w:rPr>
        <w:lastRenderedPageBreak/>
        <w:t>does not continuously shape physiology and does not seek steady-state optimization.</w:t>
      </w:r>
    </w:p>
    <w:p w14:paraId="02D52A59"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Following a single, time-critical intervention, the system evaluates </w:t>
      </w:r>
      <w:r w:rsidRPr="009D0FFA">
        <w:rPr>
          <w:rFonts w:ascii="Times New Roman" w:hAnsi="Times New Roman" w:cs="Times New Roman"/>
          <w:b/>
          <w:bCs/>
          <w:sz w:val="28"/>
          <w:szCs w:val="28"/>
        </w:rPr>
        <w:t>short-horizon recovery trends</w:t>
      </w:r>
      <w:r w:rsidRPr="009D0FFA">
        <w:rPr>
          <w:rFonts w:ascii="Times New Roman" w:hAnsi="Times New Roman" w:cs="Times New Roman"/>
          <w:sz w:val="28"/>
          <w:szCs w:val="28"/>
        </w:rPr>
        <w:t xml:space="preserve">—primarily changes in heart-rate variability and electrodermal activity—to assess whether physiological escalation is stabilizing. If recovery trajectories fail to meet predefined criteria, a </w:t>
      </w:r>
      <w:r w:rsidRPr="009D0FFA">
        <w:rPr>
          <w:rFonts w:ascii="Times New Roman" w:hAnsi="Times New Roman" w:cs="Times New Roman"/>
          <w:b/>
          <w:bCs/>
          <w:sz w:val="28"/>
          <w:szCs w:val="28"/>
        </w:rPr>
        <w:t>limited corrective adjustment</w:t>
      </w:r>
      <w:r w:rsidRPr="009D0FFA">
        <w:rPr>
          <w:rFonts w:ascii="Times New Roman" w:hAnsi="Times New Roman" w:cs="Times New Roman"/>
          <w:sz w:val="28"/>
          <w:szCs w:val="28"/>
        </w:rPr>
        <w:t xml:space="preserve"> may be permitted within strict saturation limits.</w:t>
      </w:r>
    </w:p>
    <w:p w14:paraId="46C652D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Control behavior is intentionally conservative:</w:t>
      </w:r>
    </w:p>
    <w:p w14:paraId="416549B8" w14:textId="77777777" w:rsidR="009D0FFA" w:rsidRPr="009D0FFA" w:rsidRDefault="009D0FFA" w:rsidP="009D0FFA">
      <w:pPr>
        <w:numPr>
          <w:ilvl w:val="0"/>
          <w:numId w:val="13"/>
        </w:numPr>
        <w:rPr>
          <w:rFonts w:ascii="Times New Roman" w:hAnsi="Times New Roman" w:cs="Times New Roman"/>
          <w:sz w:val="28"/>
          <w:szCs w:val="28"/>
        </w:rPr>
      </w:pPr>
      <w:r w:rsidRPr="009D0FFA">
        <w:rPr>
          <w:rFonts w:ascii="Times New Roman" w:hAnsi="Times New Roman" w:cs="Times New Roman"/>
          <w:b/>
          <w:bCs/>
          <w:sz w:val="28"/>
          <w:szCs w:val="28"/>
        </w:rPr>
        <w:t>Dosing authority is capped per event</w:t>
      </w:r>
    </w:p>
    <w:p w14:paraId="65C9DE20" w14:textId="77777777" w:rsidR="009D0FFA" w:rsidRPr="009D0FFA" w:rsidRDefault="009D0FFA" w:rsidP="009D0FFA">
      <w:pPr>
        <w:numPr>
          <w:ilvl w:val="0"/>
          <w:numId w:val="13"/>
        </w:numPr>
        <w:rPr>
          <w:rFonts w:ascii="Times New Roman" w:hAnsi="Times New Roman" w:cs="Times New Roman"/>
          <w:sz w:val="28"/>
          <w:szCs w:val="28"/>
        </w:rPr>
      </w:pPr>
      <w:r w:rsidRPr="009D0FFA">
        <w:rPr>
          <w:rFonts w:ascii="Times New Roman" w:hAnsi="Times New Roman" w:cs="Times New Roman"/>
          <w:b/>
          <w:bCs/>
          <w:sz w:val="28"/>
          <w:szCs w:val="28"/>
        </w:rPr>
        <w:t>Cumulative or long-term modulation is disallowed</w:t>
      </w:r>
    </w:p>
    <w:p w14:paraId="0C5B5A01" w14:textId="77777777" w:rsidR="009D0FFA" w:rsidRPr="009D0FFA" w:rsidRDefault="009D0FFA" w:rsidP="009D0FFA">
      <w:pPr>
        <w:numPr>
          <w:ilvl w:val="0"/>
          <w:numId w:val="13"/>
        </w:numPr>
        <w:rPr>
          <w:rFonts w:ascii="Times New Roman" w:hAnsi="Times New Roman" w:cs="Times New Roman"/>
          <w:sz w:val="28"/>
          <w:szCs w:val="28"/>
        </w:rPr>
      </w:pPr>
      <w:r w:rsidRPr="009D0FFA">
        <w:rPr>
          <w:rFonts w:ascii="Times New Roman" w:hAnsi="Times New Roman" w:cs="Times New Roman"/>
          <w:b/>
          <w:bCs/>
          <w:sz w:val="28"/>
          <w:szCs w:val="28"/>
        </w:rPr>
        <w:t>Integral “wind-up” effects are explicitly prevented</w:t>
      </w:r>
    </w:p>
    <w:p w14:paraId="27988CD1" w14:textId="77777777" w:rsidR="009D0FFA" w:rsidRPr="009D0FFA" w:rsidRDefault="009D0FFA" w:rsidP="009D0FFA">
      <w:pPr>
        <w:numPr>
          <w:ilvl w:val="0"/>
          <w:numId w:val="13"/>
        </w:numPr>
        <w:rPr>
          <w:rFonts w:ascii="Times New Roman" w:hAnsi="Times New Roman" w:cs="Times New Roman"/>
          <w:sz w:val="28"/>
          <w:szCs w:val="28"/>
        </w:rPr>
      </w:pPr>
      <w:r w:rsidRPr="009D0FFA">
        <w:rPr>
          <w:rFonts w:ascii="Times New Roman" w:hAnsi="Times New Roman" w:cs="Times New Roman"/>
          <w:b/>
          <w:bCs/>
          <w:sz w:val="28"/>
          <w:szCs w:val="28"/>
        </w:rPr>
        <w:t>All adjustments are short-lived and terminate automatically</w:t>
      </w:r>
    </w:p>
    <w:p w14:paraId="225EE719" w14:textId="77777777" w:rsidR="009D0FFA" w:rsidRPr="009D0FFA" w:rsidRDefault="009D0FFA" w:rsidP="00F41EE8">
      <w:pPr>
        <w:spacing w:before="240"/>
        <w:rPr>
          <w:rFonts w:ascii="Times New Roman" w:hAnsi="Times New Roman" w:cs="Times New Roman"/>
          <w:sz w:val="28"/>
          <w:szCs w:val="28"/>
        </w:rPr>
      </w:pPr>
      <w:r w:rsidRPr="009D0FFA">
        <w:rPr>
          <w:rFonts w:ascii="Times New Roman" w:hAnsi="Times New Roman" w:cs="Times New Roman"/>
          <w:sz w:val="28"/>
          <w:szCs w:val="28"/>
        </w:rPr>
        <w:t xml:space="preserve">Machine-learning components do </w:t>
      </w:r>
      <w:r w:rsidRPr="009D0FFA">
        <w:rPr>
          <w:rFonts w:ascii="Times New Roman" w:hAnsi="Times New Roman" w:cs="Times New Roman"/>
          <w:b/>
          <w:bCs/>
          <w:sz w:val="28"/>
          <w:szCs w:val="28"/>
        </w:rPr>
        <w:t>not</w:t>
      </w:r>
      <w:r w:rsidRPr="009D0FFA">
        <w:rPr>
          <w:rFonts w:ascii="Times New Roman" w:hAnsi="Times New Roman" w:cs="Times New Roman"/>
          <w:sz w:val="28"/>
          <w:szCs w:val="28"/>
        </w:rPr>
        <w:t xml:space="preserve"> determine intervention. Pattern recognition is used </w:t>
      </w:r>
      <w:r w:rsidRPr="009D0FFA">
        <w:rPr>
          <w:rFonts w:ascii="Times New Roman" w:hAnsi="Times New Roman" w:cs="Times New Roman"/>
          <w:b/>
          <w:bCs/>
          <w:sz w:val="28"/>
          <w:szCs w:val="28"/>
        </w:rPr>
        <w:t>solely to flag eligibility</w:t>
      </w:r>
      <w:r w:rsidRPr="009D0FFA">
        <w:rPr>
          <w:rFonts w:ascii="Times New Roman" w:hAnsi="Times New Roman" w:cs="Times New Roman"/>
          <w:sz w:val="28"/>
          <w:szCs w:val="28"/>
        </w:rPr>
        <w:t xml:space="preserve"> based on multi-modal physiological concurrence. Deterministic thresholds, system-integrity checks, and </w:t>
      </w:r>
      <w:r w:rsidRPr="009D0FFA">
        <w:rPr>
          <w:rFonts w:ascii="Times New Roman" w:hAnsi="Times New Roman" w:cs="Times New Roman"/>
          <w:b/>
          <w:bCs/>
          <w:sz w:val="28"/>
          <w:szCs w:val="28"/>
        </w:rPr>
        <w:t>active operator authorization</w:t>
      </w:r>
      <w:r w:rsidRPr="009D0FFA">
        <w:rPr>
          <w:rFonts w:ascii="Times New Roman" w:hAnsi="Times New Roman" w:cs="Times New Roman"/>
          <w:sz w:val="28"/>
          <w:szCs w:val="28"/>
        </w:rPr>
        <w:t xml:space="preserve"> remain the final gatekeepers of any actuation.</w:t>
      </w:r>
    </w:p>
    <w:p w14:paraId="2DD47443" w14:textId="77777777" w:rsid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All communications between wearable and operator interface occur </w:t>
      </w:r>
      <w:r w:rsidRPr="009D0FFA">
        <w:rPr>
          <w:rFonts w:ascii="Times New Roman" w:hAnsi="Times New Roman" w:cs="Times New Roman"/>
          <w:b/>
          <w:bCs/>
          <w:sz w:val="28"/>
          <w:szCs w:val="28"/>
        </w:rPr>
        <w:t>locally</w:t>
      </w:r>
      <w:r w:rsidRPr="009D0FFA">
        <w:rPr>
          <w:rFonts w:ascii="Times New Roman" w:hAnsi="Times New Roman" w:cs="Times New Roman"/>
          <w:sz w:val="28"/>
          <w:szCs w:val="28"/>
        </w:rPr>
        <w:t xml:space="preserve"> (e.g., Bluetooth or LoRa), with encryption enforced and </w:t>
      </w:r>
      <w:r w:rsidRPr="009D0FFA">
        <w:rPr>
          <w:rFonts w:ascii="Times New Roman" w:hAnsi="Times New Roman" w:cs="Times New Roman"/>
          <w:b/>
          <w:bCs/>
          <w:sz w:val="28"/>
          <w:szCs w:val="28"/>
        </w:rPr>
        <w:t>no cloud dependency</w:t>
      </w:r>
      <w:r w:rsidRPr="009D0FFA">
        <w:rPr>
          <w:rFonts w:ascii="Times New Roman" w:hAnsi="Times New Roman" w:cs="Times New Roman"/>
          <w:sz w:val="28"/>
          <w:szCs w:val="28"/>
        </w:rPr>
        <w:t xml:space="preserve">. Logged events are </w:t>
      </w:r>
      <w:r w:rsidRPr="009D0FFA">
        <w:rPr>
          <w:rFonts w:ascii="Times New Roman" w:hAnsi="Times New Roman" w:cs="Times New Roman"/>
          <w:b/>
          <w:bCs/>
          <w:sz w:val="28"/>
          <w:szCs w:val="28"/>
        </w:rPr>
        <w:t>minimal, silent, and auditable</w:t>
      </w:r>
      <w:r w:rsidRPr="009D0FFA">
        <w:rPr>
          <w:rFonts w:ascii="Times New Roman" w:hAnsi="Times New Roman" w:cs="Times New Roman"/>
          <w:sz w:val="28"/>
          <w:szCs w:val="28"/>
        </w:rPr>
        <w:t>, preserving privacy while enabling post-hoc safety review.</w:t>
      </w:r>
    </w:p>
    <w:p w14:paraId="3F9AF730" w14:textId="77777777" w:rsidR="00F41EE8" w:rsidRDefault="00F41EE8" w:rsidP="00F41EE8">
      <w:pPr>
        <w:rPr>
          <w:rFonts w:ascii="Times New Roman" w:hAnsi="Times New Roman" w:cs="Times New Roman"/>
          <w:sz w:val="28"/>
          <w:szCs w:val="28"/>
        </w:rPr>
      </w:pPr>
      <w:r w:rsidRPr="00F41EE8">
        <w:rPr>
          <w:rFonts w:ascii="Times New Roman" w:hAnsi="Times New Roman" w:cs="Times New Roman"/>
          <w:sz w:val="28"/>
          <w:szCs w:val="28"/>
        </w:rPr>
        <w:t>CERBERUS operates within a strictly bounded, event-limited temporal window. Each activation corresponds to a single, discrete episode of acute physiological escalation, measured in minutes.</w:t>
      </w:r>
      <w:r>
        <w:rPr>
          <w:rFonts w:ascii="Times New Roman" w:hAnsi="Times New Roman" w:cs="Times New Roman"/>
          <w:sz w:val="28"/>
          <w:szCs w:val="28"/>
        </w:rPr>
        <w:t xml:space="preserve"> </w:t>
      </w:r>
    </w:p>
    <w:p w14:paraId="0EE5C277" w14:textId="152ECDD4" w:rsidR="00F41EE8" w:rsidRPr="00F41EE8" w:rsidRDefault="00F41EE8" w:rsidP="00F41EE8">
      <w:pPr>
        <w:rPr>
          <w:rFonts w:ascii="Times New Roman" w:hAnsi="Times New Roman" w:cs="Times New Roman"/>
          <w:sz w:val="28"/>
          <w:szCs w:val="28"/>
        </w:rPr>
      </w:pPr>
      <w:r w:rsidRPr="00F41EE8">
        <w:rPr>
          <w:rFonts w:ascii="Times New Roman" w:hAnsi="Times New Roman" w:cs="Times New Roman"/>
          <w:sz w:val="28"/>
          <w:szCs w:val="28"/>
        </w:rPr>
        <w:t>Upon completion of an event window, the system automatically exits active mode and reverts to passive monitoring. Re-activation is permitted only after a defined physiological recovery interval has been detected, indicating resolution of the prior escalation state.</w:t>
      </w:r>
    </w:p>
    <w:p w14:paraId="1F61FCDD" w14:textId="77777777" w:rsidR="00F41EE8" w:rsidRPr="00F41EE8" w:rsidRDefault="00F41EE8" w:rsidP="00F41EE8">
      <w:pPr>
        <w:rPr>
          <w:rFonts w:ascii="Times New Roman" w:hAnsi="Times New Roman" w:cs="Times New Roman"/>
          <w:sz w:val="28"/>
          <w:szCs w:val="28"/>
        </w:rPr>
      </w:pPr>
      <w:r w:rsidRPr="00F41EE8">
        <w:rPr>
          <w:rFonts w:ascii="Times New Roman" w:hAnsi="Times New Roman" w:cs="Times New Roman"/>
          <w:sz w:val="28"/>
          <w:szCs w:val="28"/>
        </w:rPr>
        <w:t xml:space="preserve">CERBERUS does not permit rolling extension, continuous modulation, or indefinite sustainment of biological effects. Cumulative exposure is capped within </w:t>
      </w:r>
      <w:r w:rsidRPr="00F41EE8">
        <w:rPr>
          <w:rFonts w:ascii="Times New Roman" w:hAnsi="Times New Roman" w:cs="Times New Roman"/>
          <w:sz w:val="28"/>
          <w:szCs w:val="28"/>
        </w:rPr>
        <w:lastRenderedPageBreak/>
        <w:t>a configurable 24–72 hour operational audit window, with hard limits on total administered dose and number of discrete events. This window functions as a safety and oversight boundary, not a biological reset mechanism.</w:t>
      </w:r>
    </w:p>
    <w:p w14:paraId="2592EC13" w14:textId="687E3E71" w:rsidR="00F41EE8" w:rsidRDefault="00F41EE8" w:rsidP="00F41EE8">
      <w:pPr>
        <w:spacing w:after="0"/>
        <w:rPr>
          <w:rFonts w:ascii="Times New Roman" w:hAnsi="Times New Roman" w:cs="Times New Roman"/>
          <w:sz w:val="28"/>
          <w:szCs w:val="28"/>
        </w:rPr>
      </w:pPr>
      <w:r w:rsidRPr="00F41EE8">
        <w:rPr>
          <w:rFonts w:ascii="Times New Roman" w:hAnsi="Times New Roman" w:cs="Times New Roman"/>
          <w:sz w:val="28"/>
          <w:szCs w:val="28"/>
        </w:rPr>
        <w:t xml:space="preserve">Importantly, peptide signaling pathways engaged for acute injury buffering are context-dependent and self-limiting. Use outside acute injury or escalation states, or </w:t>
      </w:r>
      <w:r w:rsidRPr="00F41EE8">
        <w:rPr>
          <w:rFonts w:ascii="Times New Roman" w:hAnsi="Times New Roman" w:cs="Times New Roman"/>
          <w:b/>
          <w:bCs/>
          <w:sz w:val="28"/>
          <w:szCs w:val="28"/>
        </w:rPr>
        <w:t xml:space="preserve">repeated administration without </w:t>
      </w:r>
      <w:r>
        <w:rPr>
          <w:rFonts w:ascii="Times New Roman" w:hAnsi="Times New Roman" w:cs="Times New Roman"/>
          <w:b/>
          <w:bCs/>
          <w:sz w:val="28"/>
          <w:szCs w:val="28"/>
        </w:rPr>
        <w:t>psychological or musculoskeletal injury or escalation states</w:t>
      </w:r>
      <w:r w:rsidRPr="00F41EE8">
        <w:rPr>
          <w:rFonts w:ascii="Times New Roman" w:hAnsi="Times New Roman" w:cs="Times New Roman"/>
          <w:sz w:val="28"/>
          <w:szCs w:val="28"/>
        </w:rPr>
        <w:t xml:space="preserve">, increases the risk of off-target signaling, maladaptive remodeling, or </w:t>
      </w:r>
      <w:r w:rsidRPr="00F41EE8">
        <w:rPr>
          <w:rFonts w:ascii="Times New Roman" w:hAnsi="Times New Roman" w:cs="Times New Roman"/>
          <w:b/>
          <w:bCs/>
          <w:sz w:val="28"/>
          <w:szCs w:val="28"/>
        </w:rPr>
        <w:t>unintended physiological effects</w:t>
      </w:r>
      <w:r w:rsidRPr="00F41EE8">
        <w:rPr>
          <w:rFonts w:ascii="Times New Roman" w:hAnsi="Times New Roman" w:cs="Times New Roman"/>
          <w:sz w:val="28"/>
          <w:szCs w:val="28"/>
        </w:rPr>
        <w:t>. CERBERUS is therefore explicitly constrained to injury-analog conditions only.</w:t>
      </w:r>
    </w:p>
    <w:p w14:paraId="632EB325" w14:textId="77777777" w:rsidR="00F41EE8" w:rsidRPr="009D0FFA" w:rsidRDefault="00F41EE8" w:rsidP="00F41EE8">
      <w:pPr>
        <w:pBdr>
          <w:bottom w:val="single" w:sz="4" w:space="1" w:color="auto"/>
        </w:pBdr>
        <w:rPr>
          <w:rFonts w:ascii="Times New Roman" w:hAnsi="Times New Roman" w:cs="Times New Roman"/>
          <w:sz w:val="28"/>
          <w:szCs w:val="28"/>
        </w:rPr>
      </w:pPr>
    </w:p>
    <w:p w14:paraId="38ACEA06"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6. Preclinical-to-Clinical Validation Cascade (Narrative Framework)</w:t>
      </w:r>
    </w:p>
    <w:p w14:paraId="5C9AB4D4"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Validation of the CERBERUS concept is structured as a </w:t>
      </w:r>
      <w:r w:rsidRPr="009D0FFA">
        <w:rPr>
          <w:rFonts w:ascii="Times New Roman" w:hAnsi="Times New Roman" w:cs="Times New Roman"/>
          <w:b/>
          <w:bCs/>
          <w:sz w:val="28"/>
          <w:szCs w:val="28"/>
        </w:rPr>
        <w:t>progressive, species-appropriate cascade</w:t>
      </w:r>
      <w:r w:rsidRPr="009D0FFA">
        <w:rPr>
          <w:rFonts w:ascii="Times New Roman" w:hAnsi="Times New Roman" w:cs="Times New Roman"/>
          <w:sz w:val="28"/>
          <w:szCs w:val="28"/>
        </w:rPr>
        <w:t xml:space="preserve">, designed to evaluate </w:t>
      </w:r>
      <w:r w:rsidRPr="009D0FFA">
        <w:rPr>
          <w:rFonts w:ascii="Times New Roman" w:hAnsi="Times New Roman" w:cs="Times New Roman"/>
          <w:b/>
          <w:bCs/>
          <w:sz w:val="28"/>
          <w:szCs w:val="28"/>
        </w:rPr>
        <w:t>feasibility, safety, and acute physiological impact</w:t>
      </w:r>
      <w:r w:rsidRPr="009D0FFA">
        <w:rPr>
          <w:rFonts w:ascii="Times New Roman" w:hAnsi="Times New Roman" w:cs="Times New Roman"/>
          <w:sz w:val="28"/>
          <w:szCs w:val="28"/>
        </w:rPr>
        <w:t xml:space="preserve"> prior to any adult operational use. Each stage assesses narrowly defined endpoints tied to </w:t>
      </w:r>
      <w:r w:rsidRPr="009D0FFA">
        <w:rPr>
          <w:rFonts w:ascii="Times New Roman" w:hAnsi="Times New Roman" w:cs="Times New Roman"/>
          <w:b/>
          <w:bCs/>
          <w:sz w:val="28"/>
          <w:szCs w:val="28"/>
        </w:rPr>
        <w:t>stress-injury buffering</w:t>
      </w:r>
      <w:r w:rsidRPr="009D0FFA">
        <w:rPr>
          <w:rFonts w:ascii="Times New Roman" w:hAnsi="Times New Roman" w:cs="Times New Roman"/>
          <w:sz w:val="28"/>
          <w:szCs w:val="28"/>
        </w:rPr>
        <w:t>, not behavioral modification or performance enhancement.</w:t>
      </w:r>
    </w:p>
    <w:p w14:paraId="36182240"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Phase 1: Large-Animal Dermal Pharmacokinetics and Safety</w:t>
      </w:r>
    </w:p>
    <w:p w14:paraId="56E6C70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i/>
          <w:iCs/>
          <w:sz w:val="28"/>
          <w:szCs w:val="28"/>
        </w:rPr>
        <w:t>(Projected: Q3 2026)</w:t>
      </w:r>
    </w:p>
    <w:p w14:paraId="6E6ECA02"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Initial evaluation focuses on </w:t>
      </w:r>
      <w:r w:rsidRPr="009D0FFA">
        <w:rPr>
          <w:rFonts w:ascii="Times New Roman" w:hAnsi="Times New Roman" w:cs="Times New Roman"/>
          <w:b/>
          <w:bCs/>
          <w:sz w:val="28"/>
          <w:szCs w:val="28"/>
        </w:rPr>
        <w:t>dermal delivery characteristics and systemic exposure</w:t>
      </w:r>
      <w:r w:rsidRPr="009D0FFA">
        <w:rPr>
          <w:rFonts w:ascii="Times New Roman" w:hAnsi="Times New Roman" w:cs="Times New Roman"/>
          <w:sz w:val="28"/>
          <w:szCs w:val="28"/>
        </w:rPr>
        <w:t xml:space="preserve"> using large-animal models selected for close similarity to adult human skin in thickness, elasticity, and vascularization.</w:t>
      </w:r>
    </w:p>
    <w:p w14:paraId="2B48A6D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Primary objectives include:</w:t>
      </w:r>
    </w:p>
    <w:p w14:paraId="1D35402D" w14:textId="77777777" w:rsidR="009D0FFA" w:rsidRPr="009D0FFA" w:rsidRDefault="009D0FFA" w:rsidP="009D0FFA">
      <w:pPr>
        <w:numPr>
          <w:ilvl w:val="0"/>
          <w:numId w:val="14"/>
        </w:numPr>
        <w:rPr>
          <w:rFonts w:ascii="Times New Roman" w:hAnsi="Times New Roman" w:cs="Times New Roman"/>
          <w:sz w:val="28"/>
          <w:szCs w:val="28"/>
        </w:rPr>
      </w:pPr>
      <w:r w:rsidRPr="009D0FFA">
        <w:rPr>
          <w:rFonts w:ascii="Times New Roman" w:hAnsi="Times New Roman" w:cs="Times New Roman"/>
          <w:sz w:val="28"/>
          <w:szCs w:val="28"/>
        </w:rPr>
        <w:t>Characterization of microneedle-mediated absorption profiles for BPC-157 and TB-500</w:t>
      </w:r>
    </w:p>
    <w:p w14:paraId="1EEBCF6C" w14:textId="77777777" w:rsidR="009D0FFA" w:rsidRPr="009D0FFA" w:rsidRDefault="009D0FFA" w:rsidP="009D0FFA">
      <w:pPr>
        <w:numPr>
          <w:ilvl w:val="0"/>
          <w:numId w:val="14"/>
        </w:numPr>
        <w:rPr>
          <w:rFonts w:ascii="Times New Roman" w:hAnsi="Times New Roman" w:cs="Times New Roman"/>
          <w:sz w:val="28"/>
          <w:szCs w:val="28"/>
        </w:rPr>
      </w:pPr>
      <w:r w:rsidRPr="009D0FFA">
        <w:rPr>
          <w:rFonts w:ascii="Times New Roman" w:hAnsi="Times New Roman" w:cs="Times New Roman"/>
          <w:sz w:val="28"/>
          <w:szCs w:val="28"/>
        </w:rPr>
        <w:t>Estimation of peak exposure timing and bioavailability</w:t>
      </w:r>
    </w:p>
    <w:p w14:paraId="57812A3D" w14:textId="77777777" w:rsidR="009D0FFA" w:rsidRPr="009D0FFA" w:rsidRDefault="009D0FFA" w:rsidP="009D0FFA">
      <w:pPr>
        <w:numPr>
          <w:ilvl w:val="0"/>
          <w:numId w:val="14"/>
        </w:numPr>
        <w:rPr>
          <w:rFonts w:ascii="Times New Roman" w:hAnsi="Times New Roman" w:cs="Times New Roman"/>
          <w:sz w:val="28"/>
          <w:szCs w:val="28"/>
        </w:rPr>
      </w:pPr>
      <w:r w:rsidRPr="009D0FFA">
        <w:rPr>
          <w:rFonts w:ascii="Times New Roman" w:hAnsi="Times New Roman" w:cs="Times New Roman"/>
          <w:sz w:val="28"/>
          <w:szCs w:val="28"/>
        </w:rPr>
        <w:t>Assessment of local dermal tolerability and systemic safety margins</w:t>
      </w:r>
    </w:p>
    <w:p w14:paraId="113E555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lastRenderedPageBreak/>
        <w:t xml:space="preserve">Plasma concentrations are quantified using standard LC–MS/MS methods following </w:t>
      </w:r>
      <w:r w:rsidRPr="009D0FFA">
        <w:rPr>
          <w:rFonts w:ascii="Times New Roman" w:hAnsi="Times New Roman" w:cs="Times New Roman"/>
          <w:b/>
          <w:bCs/>
          <w:sz w:val="28"/>
          <w:szCs w:val="28"/>
        </w:rPr>
        <w:t>single, acute MN delivery events</w:t>
      </w:r>
      <w:r w:rsidRPr="009D0FFA">
        <w:rPr>
          <w:rFonts w:ascii="Times New Roman" w:hAnsi="Times New Roman" w:cs="Times New Roman"/>
          <w:sz w:val="28"/>
          <w:szCs w:val="28"/>
        </w:rPr>
        <w:t xml:space="preserve"> across a range of low microgram doses. No repeated or chronic exposure paradigms are evaluated at this stage.</w:t>
      </w:r>
    </w:p>
    <w:p w14:paraId="1F5D4CD1"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Phase 2: Rodent Acute Stress Models with Physiological Triggering</w:t>
      </w:r>
    </w:p>
    <w:p w14:paraId="5958AFB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i/>
          <w:iCs/>
          <w:sz w:val="28"/>
          <w:szCs w:val="28"/>
        </w:rPr>
        <w:t>(Projected: Q1 2027)</w:t>
      </w:r>
    </w:p>
    <w:p w14:paraId="3A59C564"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 second phase evaluates </w:t>
      </w:r>
      <w:r w:rsidRPr="009D0FFA">
        <w:rPr>
          <w:rFonts w:ascii="Times New Roman" w:hAnsi="Times New Roman" w:cs="Times New Roman"/>
          <w:b/>
          <w:bCs/>
          <w:sz w:val="28"/>
          <w:szCs w:val="28"/>
        </w:rPr>
        <w:t>physiological response coupling</w:t>
      </w:r>
      <w:r w:rsidRPr="009D0FFA">
        <w:rPr>
          <w:rFonts w:ascii="Times New Roman" w:hAnsi="Times New Roman" w:cs="Times New Roman"/>
          <w:sz w:val="28"/>
          <w:szCs w:val="28"/>
        </w:rPr>
        <w:t>, not efficacy claims, using established rodent acute-stress paradigms augmented with real-time physiological monitoring.</w:t>
      </w:r>
    </w:p>
    <w:p w14:paraId="20F652DD"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Key questions addressed include:</w:t>
      </w:r>
    </w:p>
    <w:p w14:paraId="24D5B158" w14:textId="77777777" w:rsidR="009D0FFA" w:rsidRPr="009D0FFA" w:rsidRDefault="009D0FFA" w:rsidP="009D0FFA">
      <w:pPr>
        <w:numPr>
          <w:ilvl w:val="0"/>
          <w:numId w:val="15"/>
        </w:numPr>
        <w:rPr>
          <w:rFonts w:ascii="Times New Roman" w:hAnsi="Times New Roman" w:cs="Times New Roman"/>
          <w:sz w:val="28"/>
          <w:szCs w:val="28"/>
        </w:rPr>
      </w:pPr>
      <w:r w:rsidRPr="009D0FFA">
        <w:rPr>
          <w:rFonts w:ascii="Times New Roman" w:hAnsi="Times New Roman" w:cs="Times New Roman"/>
          <w:sz w:val="28"/>
          <w:szCs w:val="28"/>
        </w:rPr>
        <w:t>Whether biosensor-defined stress signatures reliably precede measurable HPA-axis activation</w:t>
      </w:r>
    </w:p>
    <w:p w14:paraId="35013444" w14:textId="77777777" w:rsidR="009D0FFA" w:rsidRPr="009D0FFA" w:rsidRDefault="009D0FFA" w:rsidP="009D0FFA">
      <w:pPr>
        <w:numPr>
          <w:ilvl w:val="0"/>
          <w:numId w:val="15"/>
        </w:numPr>
        <w:rPr>
          <w:rFonts w:ascii="Times New Roman" w:hAnsi="Times New Roman" w:cs="Times New Roman"/>
          <w:sz w:val="28"/>
          <w:szCs w:val="28"/>
        </w:rPr>
      </w:pPr>
      <w:r w:rsidRPr="009D0FFA">
        <w:rPr>
          <w:rFonts w:ascii="Times New Roman" w:hAnsi="Times New Roman" w:cs="Times New Roman"/>
          <w:sz w:val="28"/>
          <w:szCs w:val="28"/>
        </w:rPr>
        <w:t xml:space="preserve">Whether peptide delivery during acute escalation windows alters </w:t>
      </w:r>
      <w:r w:rsidRPr="009D0FFA">
        <w:rPr>
          <w:rFonts w:ascii="Times New Roman" w:hAnsi="Times New Roman" w:cs="Times New Roman"/>
          <w:b/>
          <w:bCs/>
          <w:sz w:val="28"/>
          <w:szCs w:val="28"/>
        </w:rPr>
        <w:t>short-term recovery trajectories</w:t>
      </w:r>
      <w:r w:rsidRPr="009D0FFA">
        <w:rPr>
          <w:rFonts w:ascii="Times New Roman" w:hAnsi="Times New Roman" w:cs="Times New Roman"/>
          <w:sz w:val="28"/>
          <w:szCs w:val="28"/>
        </w:rPr>
        <w:t xml:space="preserve"> of cortisol and autonomic balance</w:t>
      </w:r>
    </w:p>
    <w:p w14:paraId="0A3EF07E" w14:textId="77777777" w:rsidR="009D0FFA" w:rsidRPr="009D0FFA" w:rsidRDefault="009D0FFA" w:rsidP="009D0FFA">
      <w:pPr>
        <w:numPr>
          <w:ilvl w:val="0"/>
          <w:numId w:val="15"/>
        </w:numPr>
        <w:rPr>
          <w:rFonts w:ascii="Times New Roman" w:hAnsi="Times New Roman" w:cs="Times New Roman"/>
          <w:sz w:val="28"/>
          <w:szCs w:val="28"/>
        </w:rPr>
      </w:pPr>
      <w:r w:rsidRPr="009D0FFA">
        <w:rPr>
          <w:rFonts w:ascii="Times New Roman" w:hAnsi="Times New Roman" w:cs="Times New Roman"/>
          <w:sz w:val="28"/>
          <w:szCs w:val="28"/>
        </w:rPr>
        <w:t>Whether post-event recovery dynamics differ from non-intervention controls</w:t>
      </w:r>
    </w:p>
    <w:p w14:paraId="2B9CD8C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Endpoints are restricted to </w:t>
      </w:r>
      <w:r w:rsidRPr="009D0FFA">
        <w:rPr>
          <w:rFonts w:ascii="Times New Roman" w:hAnsi="Times New Roman" w:cs="Times New Roman"/>
          <w:b/>
          <w:bCs/>
          <w:sz w:val="28"/>
          <w:szCs w:val="28"/>
        </w:rPr>
        <w:t>biochemical and autonomic markers</w:t>
      </w:r>
      <w:r w:rsidRPr="009D0FFA">
        <w:rPr>
          <w:rFonts w:ascii="Times New Roman" w:hAnsi="Times New Roman" w:cs="Times New Roman"/>
          <w:sz w:val="28"/>
          <w:szCs w:val="28"/>
        </w:rPr>
        <w:t xml:space="preserve"> (e.g., cortisol area-under-the-curve, HRV recovery slope) measured at discrete time points following trigger events. Behavioral outcomes are </w:t>
      </w:r>
      <w:r w:rsidRPr="009D0FFA">
        <w:rPr>
          <w:rFonts w:ascii="Times New Roman" w:hAnsi="Times New Roman" w:cs="Times New Roman"/>
          <w:b/>
          <w:bCs/>
          <w:sz w:val="28"/>
          <w:szCs w:val="28"/>
        </w:rPr>
        <w:t>not</w:t>
      </w:r>
      <w:r w:rsidRPr="009D0FFA">
        <w:rPr>
          <w:rFonts w:ascii="Times New Roman" w:hAnsi="Times New Roman" w:cs="Times New Roman"/>
          <w:sz w:val="28"/>
          <w:szCs w:val="28"/>
        </w:rPr>
        <w:t xml:space="preserve"> used as primary validation criteria.</w:t>
      </w:r>
    </w:p>
    <w:p w14:paraId="3B36382B"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Phase 3: Non-Human Primate Neurobiological Impact Assessment</w:t>
      </w:r>
    </w:p>
    <w:p w14:paraId="2A15A197"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i/>
          <w:iCs/>
          <w:sz w:val="28"/>
          <w:szCs w:val="28"/>
        </w:rPr>
        <w:t>(Projected: Q4 2027)</w:t>
      </w:r>
    </w:p>
    <w:p w14:paraId="1AE4DAC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 final preclinical phase examines </w:t>
      </w:r>
      <w:r w:rsidRPr="009D0FFA">
        <w:rPr>
          <w:rFonts w:ascii="Times New Roman" w:hAnsi="Times New Roman" w:cs="Times New Roman"/>
          <w:b/>
          <w:bCs/>
          <w:sz w:val="28"/>
          <w:szCs w:val="28"/>
        </w:rPr>
        <w:t>neurobiological correlates of acute stress exposure</w:t>
      </w:r>
      <w:r w:rsidRPr="009D0FFA">
        <w:rPr>
          <w:rFonts w:ascii="Times New Roman" w:hAnsi="Times New Roman" w:cs="Times New Roman"/>
          <w:sz w:val="28"/>
          <w:szCs w:val="28"/>
        </w:rPr>
        <w:t xml:space="preserve"> in non-human primates subjected to ethically approved stress paradigms appropriate for adult physiology.</w:t>
      </w:r>
    </w:p>
    <w:p w14:paraId="58A9AB41"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This phase is designed to assess:</w:t>
      </w:r>
    </w:p>
    <w:p w14:paraId="001BC7D7" w14:textId="77777777" w:rsidR="009D0FFA" w:rsidRPr="009D0FFA" w:rsidRDefault="009D0FFA" w:rsidP="009D0FFA">
      <w:pPr>
        <w:numPr>
          <w:ilvl w:val="0"/>
          <w:numId w:val="16"/>
        </w:numPr>
        <w:rPr>
          <w:rFonts w:ascii="Times New Roman" w:hAnsi="Times New Roman" w:cs="Times New Roman"/>
          <w:sz w:val="28"/>
          <w:szCs w:val="28"/>
        </w:rPr>
      </w:pPr>
      <w:r w:rsidRPr="009D0FFA">
        <w:rPr>
          <w:rFonts w:ascii="Times New Roman" w:hAnsi="Times New Roman" w:cs="Times New Roman"/>
          <w:sz w:val="28"/>
          <w:szCs w:val="28"/>
        </w:rPr>
        <w:t>Structural and microstructural brain markers associated with acute and repeated stress exposure (via diffusion tensor imaging)</w:t>
      </w:r>
    </w:p>
    <w:p w14:paraId="44CE33CF" w14:textId="77777777" w:rsidR="009D0FFA" w:rsidRPr="009D0FFA" w:rsidRDefault="009D0FFA" w:rsidP="009D0FFA">
      <w:pPr>
        <w:numPr>
          <w:ilvl w:val="0"/>
          <w:numId w:val="16"/>
        </w:numPr>
        <w:rPr>
          <w:rFonts w:ascii="Times New Roman" w:hAnsi="Times New Roman" w:cs="Times New Roman"/>
          <w:sz w:val="28"/>
          <w:szCs w:val="28"/>
        </w:rPr>
      </w:pPr>
      <w:r w:rsidRPr="009D0FFA">
        <w:rPr>
          <w:rFonts w:ascii="Times New Roman" w:hAnsi="Times New Roman" w:cs="Times New Roman"/>
          <w:sz w:val="28"/>
          <w:szCs w:val="28"/>
        </w:rPr>
        <w:lastRenderedPageBreak/>
        <w:t>Molecular correlates of stress sensitization, including glucocorticoid receptor methylation status</w:t>
      </w:r>
    </w:p>
    <w:p w14:paraId="35A66897" w14:textId="77777777" w:rsidR="009D0FFA" w:rsidRPr="009D0FFA" w:rsidRDefault="009D0FFA" w:rsidP="009D0FFA">
      <w:pPr>
        <w:numPr>
          <w:ilvl w:val="0"/>
          <w:numId w:val="16"/>
        </w:numPr>
        <w:rPr>
          <w:rFonts w:ascii="Times New Roman" w:hAnsi="Times New Roman" w:cs="Times New Roman"/>
          <w:sz w:val="28"/>
          <w:szCs w:val="28"/>
        </w:rPr>
      </w:pPr>
      <w:r w:rsidRPr="009D0FFA">
        <w:rPr>
          <w:rFonts w:ascii="Times New Roman" w:hAnsi="Times New Roman" w:cs="Times New Roman"/>
          <w:sz w:val="28"/>
          <w:szCs w:val="28"/>
        </w:rPr>
        <w:t>Expression of epigenetic regulators linked to inflammatory resolution and myelination (e.g., miR-146a)</w:t>
      </w:r>
    </w:p>
    <w:p w14:paraId="4C07294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 objective is </w:t>
      </w:r>
      <w:r w:rsidRPr="009D0FFA">
        <w:rPr>
          <w:rFonts w:ascii="Times New Roman" w:hAnsi="Times New Roman" w:cs="Times New Roman"/>
          <w:b/>
          <w:bCs/>
          <w:sz w:val="28"/>
          <w:szCs w:val="28"/>
        </w:rPr>
        <w:t>not</w:t>
      </w:r>
      <w:r w:rsidRPr="009D0FFA">
        <w:rPr>
          <w:rFonts w:ascii="Times New Roman" w:hAnsi="Times New Roman" w:cs="Times New Roman"/>
          <w:sz w:val="28"/>
          <w:szCs w:val="28"/>
        </w:rPr>
        <w:t xml:space="preserve"> to demonstrate prevention of psychopathology, but to evaluate whether </w:t>
      </w:r>
      <w:r w:rsidRPr="009D0FFA">
        <w:rPr>
          <w:rFonts w:ascii="Times New Roman" w:hAnsi="Times New Roman" w:cs="Times New Roman"/>
          <w:b/>
          <w:bCs/>
          <w:sz w:val="28"/>
          <w:szCs w:val="28"/>
        </w:rPr>
        <w:t>acute physiological buffering</w:t>
      </w:r>
      <w:r w:rsidRPr="009D0FFA">
        <w:rPr>
          <w:rFonts w:ascii="Times New Roman" w:hAnsi="Times New Roman" w:cs="Times New Roman"/>
          <w:sz w:val="28"/>
          <w:szCs w:val="28"/>
        </w:rPr>
        <w:t xml:space="preserve"> during stress exposure is associated with measurable differences in downstream neurobiological markers relative to matched controls.</w:t>
      </w:r>
    </w:p>
    <w:p w14:paraId="49C8042D"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Defined Endpoints and Interpretation Boundaries</w:t>
      </w:r>
    </w:p>
    <w:p w14:paraId="19551BB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Across all phases, predefined endpoints include:</w:t>
      </w:r>
    </w:p>
    <w:p w14:paraId="71146456" w14:textId="77777777" w:rsidR="009D0FFA" w:rsidRPr="009D0FFA" w:rsidRDefault="009D0FFA" w:rsidP="009D0FFA">
      <w:pPr>
        <w:numPr>
          <w:ilvl w:val="0"/>
          <w:numId w:val="17"/>
        </w:numPr>
        <w:rPr>
          <w:rFonts w:ascii="Times New Roman" w:hAnsi="Times New Roman" w:cs="Times New Roman"/>
          <w:sz w:val="28"/>
          <w:szCs w:val="28"/>
        </w:rPr>
      </w:pPr>
      <w:r w:rsidRPr="009D0FFA">
        <w:rPr>
          <w:rFonts w:ascii="Times New Roman" w:hAnsi="Times New Roman" w:cs="Times New Roman"/>
          <w:sz w:val="28"/>
          <w:szCs w:val="28"/>
        </w:rPr>
        <w:t>Reduction in cortisol area-under-the-curve following acute stress events</w:t>
      </w:r>
    </w:p>
    <w:p w14:paraId="365A2DEE" w14:textId="77777777" w:rsidR="009D0FFA" w:rsidRPr="009D0FFA" w:rsidRDefault="009D0FFA" w:rsidP="009D0FFA">
      <w:pPr>
        <w:numPr>
          <w:ilvl w:val="0"/>
          <w:numId w:val="17"/>
        </w:numPr>
        <w:rPr>
          <w:rFonts w:ascii="Times New Roman" w:hAnsi="Times New Roman" w:cs="Times New Roman"/>
          <w:sz w:val="28"/>
          <w:szCs w:val="28"/>
        </w:rPr>
      </w:pPr>
      <w:r w:rsidRPr="009D0FFA">
        <w:rPr>
          <w:rFonts w:ascii="Times New Roman" w:hAnsi="Times New Roman" w:cs="Times New Roman"/>
          <w:sz w:val="28"/>
          <w:szCs w:val="28"/>
        </w:rPr>
        <w:t>Shortened time-to-recovery of parasympathetic tone as measured by HRV</w:t>
      </w:r>
    </w:p>
    <w:p w14:paraId="3CA0D283" w14:textId="77777777" w:rsidR="009D0FFA" w:rsidRPr="009D0FFA" w:rsidRDefault="009D0FFA" w:rsidP="009D0FFA">
      <w:pPr>
        <w:numPr>
          <w:ilvl w:val="0"/>
          <w:numId w:val="17"/>
        </w:numPr>
        <w:rPr>
          <w:rFonts w:ascii="Times New Roman" w:hAnsi="Times New Roman" w:cs="Times New Roman"/>
          <w:sz w:val="28"/>
          <w:szCs w:val="28"/>
        </w:rPr>
      </w:pPr>
      <w:r w:rsidRPr="009D0FFA">
        <w:rPr>
          <w:rFonts w:ascii="Times New Roman" w:hAnsi="Times New Roman" w:cs="Times New Roman"/>
          <w:sz w:val="28"/>
          <w:szCs w:val="28"/>
        </w:rPr>
        <w:t>Changes in oligodendrocyte density and myelination markers assessed histologically</w:t>
      </w:r>
    </w:p>
    <w:p w14:paraId="00B8B74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These endpoints are interpreted strictly as </w:t>
      </w:r>
      <w:r w:rsidRPr="009D0FFA">
        <w:rPr>
          <w:rFonts w:ascii="Times New Roman" w:hAnsi="Times New Roman" w:cs="Times New Roman"/>
          <w:b/>
          <w:bCs/>
          <w:sz w:val="28"/>
          <w:szCs w:val="28"/>
        </w:rPr>
        <w:t>biological correlates of stress load and recovery</w:t>
      </w:r>
      <w:r w:rsidRPr="009D0FFA">
        <w:rPr>
          <w:rFonts w:ascii="Times New Roman" w:hAnsi="Times New Roman" w:cs="Times New Roman"/>
          <w:sz w:val="28"/>
          <w:szCs w:val="28"/>
        </w:rPr>
        <w:t>, not as evidence of behavioral normalization, emotional regulation, cognitive enhancement, or therapeutic cure.</w:t>
      </w:r>
    </w:p>
    <w:p w14:paraId="495B9713"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Transition Criteria</w:t>
      </w:r>
    </w:p>
    <w:p w14:paraId="59BF98E8"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Progression between phases is contingent upon:</w:t>
      </w:r>
    </w:p>
    <w:p w14:paraId="2659DBE4" w14:textId="77777777" w:rsidR="009D0FFA" w:rsidRPr="009D0FFA" w:rsidRDefault="009D0FFA" w:rsidP="009D0FFA">
      <w:pPr>
        <w:numPr>
          <w:ilvl w:val="0"/>
          <w:numId w:val="18"/>
        </w:numPr>
        <w:rPr>
          <w:rFonts w:ascii="Times New Roman" w:hAnsi="Times New Roman" w:cs="Times New Roman"/>
          <w:sz w:val="28"/>
          <w:szCs w:val="28"/>
        </w:rPr>
      </w:pPr>
      <w:r w:rsidRPr="009D0FFA">
        <w:rPr>
          <w:rFonts w:ascii="Times New Roman" w:hAnsi="Times New Roman" w:cs="Times New Roman"/>
          <w:sz w:val="28"/>
          <w:szCs w:val="28"/>
        </w:rPr>
        <w:t>Absence of unacceptable dermal or systemic adverse effects</w:t>
      </w:r>
    </w:p>
    <w:p w14:paraId="60558AF9" w14:textId="77777777" w:rsidR="009D0FFA" w:rsidRPr="009D0FFA" w:rsidRDefault="009D0FFA" w:rsidP="009D0FFA">
      <w:pPr>
        <w:numPr>
          <w:ilvl w:val="0"/>
          <w:numId w:val="18"/>
        </w:numPr>
        <w:rPr>
          <w:rFonts w:ascii="Times New Roman" w:hAnsi="Times New Roman" w:cs="Times New Roman"/>
          <w:sz w:val="28"/>
          <w:szCs w:val="28"/>
        </w:rPr>
      </w:pPr>
      <w:r w:rsidRPr="009D0FFA">
        <w:rPr>
          <w:rFonts w:ascii="Times New Roman" w:hAnsi="Times New Roman" w:cs="Times New Roman"/>
          <w:sz w:val="28"/>
          <w:szCs w:val="28"/>
        </w:rPr>
        <w:t>Reproducibility of physiological measurements</w:t>
      </w:r>
    </w:p>
    <w:p w14:paraId="4CC167CB" w14:textId="77777777" w:rsidR="009D0FFA" w:rsidRPr="009D0FFA" w:rsidRDefault="009D0FFA" w:rsidP="009D0FFA">
      <w:pPr>
        <w:numPr>
          <w:ilvl w:val="0"/>
          <w:numId w:val="18"/>
        </w:numPr>
        <w:rPr>
          <w:rFonts w:ascii="Times New Roman" w:hAnsi="Times New Roman" w:cs="Times New Roman"/>
          <w:sz w:val="28"/>
          <w:szCs w:val="28"/>
        </w:rPr>
      </w:pPr>
      <w:r w:rsidRPr="009D0FFA">
        <w:rPr>
          <w:rFonts w:ascii="Times New Roman" w:hAnsi="Times New Roman" w:cs="Times New Roman"/>
          <w:sz w:val="28"/>
          <w:szCs w:val="28"/>
        </w:rPr>
        <w:t>Maintenance of wide safety margins</w:t>
      </w:r>
    </w:p>
    <w:p w14:paraId="32B7C1D2" w14:textId="77777777" w:rsidR="009D0FFA" w:rsidRPr="009D0FFA" w:rsidRDefault="009D0FFA" w:rsidP="00F41EE8">
      <w:pPr>
        <w:spacing w:after="0"/>
        <w:rPr>
          <w:rFonts w:ascii="Times New Roman" w:hAnsi="Times New Roman" w:cs="Times New Roman"/>
          <w:sz w:val="28"/>
          <w:szCs w:val="28"/>
        </w:rPr>
      </w:pPr>
      <w:r w:rsidRPr="009D0FFA">
        <w:rPr>
          <w:rFonts w:ascii="Times New Roman" w:hAnsi="Times New Roman" w:cs="Times New Roman"/>
          <w:sz w:val="28"/>
          <w:szCs w:val="28"/>
        </w:rPr>
        <w:t xml:space="preserve">No phase presupposes success of subsequent phases. </w:t>
      </w:r>
      <w:r w:rsidRPr="009D0FFA">
        <w:rPr>
          <w:rFonts w:ascii="Times New Roman" w:hAnsi="Times New Roman" w:cs="Times New Roman"/>
          <w:b/>
          <w:bCs/>
          <w:sz w:val="28"/>
          <w:szCs w:val="28"/>
        </w:rPr>
        <w:t>Negative or null findings are considered informative</w:t>
      </w:r>
      <w:r w:rsidRPr="009D0FFA">
        <w:rPr>
          <w:rFonts w:ascii="Times New Roman" w:hAnsi="Times New Roman" w:cs="Times New Roman"/>
          <w:sz w:val="28"/>
          <w:szCs w:val="28"/>
        </w:rPr>
        <w:t xml:space="preserve"> for boundary refinement and risk characterization rather than failure.</w:t>
      </w:r>
    </w:p>
    <w:p w14:paraId="1565D4AB" w14:textId="77777777" w:rsidR="009D0FFA" w:rsidRPr="009D0FFA" w:rsidRDefault="009D0FFA" w:rsidP="009D0FFA">
      <w:pPr>
        <w:pBdr>
          <w:bottom w:val="single" w:sz="4" w:space="1" w:color="auto"/>
        </w:pBdr>
        <w:rPr>
          <w:rFonts w:ascii="Times New Roman" w:hAnsi="Times New Roman" w:cs="Times New Roman"/>
          <w:sz w:val="28"/>
          <w:szCs w:val="28"/>
        </w:rPr>
      </w:pPr>
    </w:p>
    <w:p w14:paraId="3CFD9B94" w14:textId="77777777" w:rsidR="009D0FFA" w:rsidRPr="009D0FFA" w:rsidRDefault="009D0FFA" w:rsidP="009D0FFA">
      <w:pPr>
        <w:spacing w:before="240"/>
        <w:rPr>
          <w:rFonts w:ascii="Times New Roman" w:hAnsi="Times New Roman" w:cs="Times New Roman"/>
          <w:b/>
          <w:bCs/>
          <w:sz w:val="34"/>
          <w:szCs w:val="34"/>
        </w:rPr>
      </w:pPr>
      <w:r w:rsidRPr="009D0FFA">
        <w:rPr>
          <w:rFonts w:ascii="Times New Roman" w:hAnsi="Times New Roman" w:cs="Times New Roman"/>
          <w:b/>
          <w:bCs/>
          <w:sz w:val="34"/>
          <w:szCs w:val="34"/>
        </w:rPr>
        <w:t>7. Ethical, Regulatory, and Deployment Horizon</w:t>
      </w:r>
    </w:p>
    <w:p w14:paraId="684646DE"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lastRenderedPageBreak/>
        <w:t>Consent, Agency, and Control</w:t>
      </w:r>
    </w:p>
    <w:p w14:paraId="6B19B09A"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is designed exclusively for </w:t>
      </w:r>
      <w:r w:rsidRPr="009D0FFA">
        <w:rPr>
          <w:rFonts w:ascii="Times New Roman" w:hAnsi="Times New Roman" w:cs="Times New Roman"/>
          <w:b/>
          <w:bCs/>
          <w:sz w:val="28"/>
          <w:szCs w:val="28"/>
        </w:rPr>
        <w:t>informed adult users</w:t>
      </w:r>
      <w:r w:rsidRPr="009D0FFA">
        <w:rPr>
          <w:rFonts w:ascii="Times New Roman" w:hAnsi="Times New Roman" w:cs="Times New Roman"/>
          <w:sz w:val="28"/>
          <w:szCs w:val="28"/>
        </w:rPr>
        <w:t xml:space="preserve"> operating under voluntary participation. Activation authority resides solely with the individual operator and is </w:t>
      </w:r>
      <w:r w:rsidRPr="009D0FFA">
        <w:rPr>
          <w:rFonts w:ascii="Times New Roman" w:hAnsi="Times New Roman" w:cs="Times New Roman"/>
          <w:b/>
          <w:bCs/>
          <w:sz w:val="28"/>
          <w:szCs w:val="28"/>
        </w:rPr>
        <w:t>explicit, revocable, and local</w:t>
      </w:r>
      <w:r w:rsidRPr="009D0FFA">
        <w:rPr>
          <w:rFonts w:ascii="Times New Roman" w:hAnsi="Times New Roman" w:cs="Times New Roman"/>
          <w:sz w:val="28"/>
          <w:szCs w:val="28"/>
        </w:rPr>
        <w:t>. Consent may be withdrawn at any time via physical or near-field controls, immediately disabling actuation and reverting the system to passive monitoring only.</w:t>
      </w:r>
    </w:p>
    <w:p w14:paraId="5398EABF"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No implied, default, institutional, or command-directed consent is permitted within the architecture. The system is intentionally incompatible with coerced use.</w:t>
      </w:r>
    </w:p>
    <w:p w14:paraId="2C728352"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Explicit Prohibitions</w:t>
      </w:r>
    </w:p>
    <w:p w14:paraId="4024A3C6"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The following applications are </w:t>
      </w:r>
      <w:r w:rsidRPr="009D0FFA">
        <w:rPr>
          <w:rFonts w:ascii="Times New Roman" w:hAnsi="Times New Roman" w:cs="Times New Roman"/>
          <w:b/>
          <w:bCs/>
          <w:sz w:val="28"/>
          <w:szCs w:val="28"/>
        </w:rPr>
        <w:t>structurally disallowed</w:t>
      </w:r>
      <w:r w:rsidRPr="009D0FFA">
        <w:rPr>
          <w:rFonts w:ascii="Times New Roman" w:hAnsi="Times New Roman" w:cs="Times New Roman"/>
          <w:sz w:val="28"/>
          <w:szCs w:val="28"/>
        </w:rPr>
        <w:t xml:space="preserve"> and explicitly outside the scope of CERBERUS:</w:t>
      </w:r>
    </w:p>
    <w:p w14:paraId="58ABCB9A" w14:textId="77777777" w:rsidR="009D0FFA" w:rsidRPr="009D0FFA" w:rsidRDefault="009D0FFA" w:rsidP="009D0FFA">
      <w:pPr>
        <w:numPr>
          <w:ilvl w:val="0"/>
          <w:numId w:val="19"/>
        </w:numPr>
        <w:rPr>
          <w:rFonts w:ascii="Times New Roman" w:hAnsi="Times New Roman" w:cs="Times New Roman"/>
          <w:sz w:val="28"/>
          <w:szCs w:val="28"/>
        </w:rPr>
      </w:pPr>
      <w:r w:rsidRPr="009D0FFA">
        <w:rPr>
          <w:rFonts w:ascii="Times New Roman" w:hAnsi="Times New Roman" w:cs="Times New Roman"/>
          <w:sz w:val="28"/>
          <w:szCs w:val="28"/>
        </w:rPr>
        <w:t>Behavioral control or conditioning</w:t>
      </w:r>
    </w:p>
    <w:p w14:paraId="51AEC9A2" w14:textId="77777777" w:rsidR="009D0FFA" w:rsidRPr="009D0FFA" w:rsidRDefault="009D0FFA" w:rsidP="009D0FFA">
      <w:pPr>
        <w:numPr>
          <w:ilvl w:val="0"/>
          <w:numId w:val="19"/>
        </w:numPr>
        <w:rPr>
          <w:rFonts w:ascii="Times New Roman" w:hAnsi="Times New Roman" w:cs="Times New Roman"/>
          <w:sz w:val="28"/>
          <w:szCs w:val="28"/>
        </w:rPr>
      </w:pPr>
      <w:r w:rsidRPr="009D0FFA">
        <w:rPr>
          <w:rFonts w:ascii="Times New Roman" w:hAnsi="Times New Roman" w:cs="Times New Roman"/>
          <w:sz w:val="28"/>
          <w:szCs w:val="28"/>
        </w:rPr>
        <w:t>Discipline, interrogation, or compliance enforcement</w:t>
      </w:r>
    </w:p>
    <w:p w14:paraId="397A1AE7" w14:textId="77777777" w:rsidR="009D0FFA" w:rsidRPr="009D0FFA" w:rsidRDefault="009D0FFA" w:rsidP="009D0FFA">
      <w:pPr>
        <w:numPr>
          <w:ilvl w:val="0"/>
          <w:numId w:val="19"/>
        </w:numPr>
        <w:rPr>
          <w:rFonts w:ascii="Times New Roman" w:hAnsi="Times New Roman" w:cs="Times New Roman"/>
          <w:sz w:val="28"/>
          <w:szCs w:val="28"/>
        </w:rPr>
      </w:pPr>
      <w:r w:rsidRPr="009D0FFA">
        <w:rPr>
          <w:rFonts w:ascii="Times New Roman" w:hAnsi="Times New Roman" w:cs="Times New Roman"/>
          <w:sz w:val="28"/>
          <w:szCs w:val="28"/>
        </w:rPr>
        <w:t>Sedation, calming, or emotional suppression</w:t>
      </w:r>
    </w:p>
    <w:p w14:paraId="1C66DB99" w14:textId="77777777" w:rsidR="009D0FFA" w:rsidRPr="009D0FFA" w:rsidRDefault="009D0FFA" w:rsidP="009D0FFA">
      <w:pPr>
        <w:numPr>
          <w:ilvl w:val="0"/>
          <w:numId w:val="19"/>
        </w:numPr>
        <w:rPr>
          <w:rFonts w:ascii="Times New Roman" w:hAnsi="Times New Roman" w:cs="Times New Roman"/>
          <w:sz w:val="28"/>
          <w:szCs w:val="28"/>
        </w:rPr>
      </w:pPr>
      <w:r w:rsidRPr="009D0FFA">
        <w:rPr>
          <w:rFonts w:ascii="Times New Roman" w:hAnsi="Times New Roman" w:cs="Times New Roman"/>
          <w:sz w:val="28"/>
          <w:szCs w:val="28"/>
        </w:rPr>
        <w:t>Cognitive or performance optimization</w:t>
      </w:r>
    </w:p>
    <w:p w14:paraId="31034198" w14:textId="77777777" w:rsidR="009D0FFA" w:rsidRPr="009D0FFA" w:rsidRDefault="009D0FFA" w:rsidP="009D0FFA">
      <w:pPr>
        <w:numPr>
          <w:ilvl w:val="0"/>
          <w:numId w:val="19"/>
        </w:numPr>
        <w:rPr>
          <w:rFonts w:ascii="Times New Roman" w:hAnsi="Times New Roman" w:cs="Times New Roman"/>
          <w:sz w:val="28"/>
          <w:szCs w:val="28"/>
        </w:rPr>
      </w:pPr>
      <w:r w:rsidRPr="009D0FFA">
        <w:rPr>
          <w:rFonts w:ascii="Times New Roman" w:hAnsi="Times New Roman" w:cs="Times New Roman"/>
          <w:sz w:val="28"/>
          <w:szCs w:val="28"/>
        </w:rPr>
        <w:t>Population-level physiological management</w:t>
      </w:r>
    </w:p>
    <w:p w14:paraId="64F822DB"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is not a tool for command influence or behavioral modulation. It is constrained to </w:t>
      </w:r>
      <w:r w:rsidRPr="009D0FFA">
        <w:rPr>
          <w:rFonts w:ascii="Times New Roman" w:hAnsi="Times New Roman" w:cs="Times New Roman"/>
          <w:b/>
          <w:bCs/>
          <w:sz w:val="28"/>
          <w:szCs w:val="28"/>
        </w:rPr>
        <w:t>acute physiological injury buffering</w:t>
      </w:r>
      <w:r w:rsidRPr="009D0FFA">
        <w:rPr>
          <w:rFonts w:ascii="Times New Roman" w:hAnsi="Times New Roman" w:cs="Times New Roman"/>
          <w:sz w:val="28"/>
          <w:szCs w:val="28"/>
        </w:rPr>
        <w:t xml:space="preserve"> only.</w:t>
      </w:r>
    </w:p>
    <w:p w14:paraId="1E5E2612"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Regulatory Orientation</w:t>
      </w:r>
    </w:p>
    <w:p w14:paraId="1CE73358"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From a regulatory standpoint, CERBERUS is framed as </w:t>
      </w:r>
      <w:r w:rsidRPr="009D0FFA">
        <w:rPr>
          <w:rFonts w:ascii="Times New Roman" w:hAnsi="Times New Roman" w:cs="Times New Roman"/>
          <w:b/>
          <w:bCs/>
          <w:sz w:val="28"/>
          <w:szCs w:val="28"/>
        </w:rPr>
        <w:t>personal protective biomedical equipment</w:t>
      </w:r>
      <w:r w:rsidRPr="009D0FFA">
        <w:rPr>
          <w:rFonts w:ascii="Times New Roman" w:hAnsi="Times New Roman" w:cs="Times New Roman"/>
          <w:sz w:val="28"/>
          <w:szCs w:val="28"/>
        </w:rPr>
        <w:t>, not as a therapeutic or enhancement platform.</w:t>
      </w:r>
    </w:p>
    <w:p w14:paraId="6CA97049" w14:textId="77777777" w:rsidR="009D0FFA" w:rsidRPr="009D0FFA" w:rsidRDefault="009D0FFA" w:rsidP="009D0FFA">
      <w:pPr>
        <w:numPr>
          <w:ilvl w:val="0"/>
          <w:numId w:val="20"/>
        </w:numPr>
        <w:rPr>
          <w:rFonts w:ascii="Times New Roman" w:hAnsi="Times New Roman" w:cs="Times New Roman"/>
          <w:sz w:val="28"/>
          <w:szCs w:val="28"/>
        </w:rPr>
      </w:pPr>
      <w:r w:rsidRPr="009D0FFA">
        <w:rPr>
          <w:rFonts w:ascii="Times New Roman" w:hAnsi="Times New Roman" w:cs="Times New Roman"/>
          <w:b/>
          <w:bCs/>
          <w:sz w:val="28"/>
          <w:szCs w:val="28"/>
        </w:rPr>
        <w:t>FDA pathway:</w:t>
      </w:r>
      <w:r w:rsidRPr="009D0FFA">
        <w:rPr>
          <w:rFonts w:ascii="Times New Roman" w:hAnsi="Times New Roman" w:cs="Times New Roman"/>
          <w:sz w:val="28"/>
          <w:szCs w:val="28"/>
        </w:rPr>
        <w:t xml:space="preserve"> anticipated alignment with 510(k) precedents involving microneedle-based emergency countermeasures (e.g., epinephrine MN auto-injector class devices), supported by adult safety and feasibility data under 21 CFR 820 design controls.</w:t>
      </w:r>
    </w:p>
    <w:p w14:paraId="3B459F00" w14:textId="77777777" w:rsidR="009D0FFA" w:rsidRPr="009D0FFA" w:rsidRDefault="009D0FFA" w:rsidP="009D0FFA">
      <w:pPr>
        <w:numPr>
          <w:ilvl w:val="0"/>
          <w:numId w:val="20"/>
        </w:numPr>
        <w:rPr>
          <w:rFonts w:ascii="Times New Roman" w:hAnsi="Times New Roman" w:cs="Times New Roman"/>
          <w:sz w:val="28"/>
          <w:szCs w:val="28"/>
        </w:rPr>
      </w:pPr>
      <w:r w:rsidRPr="009D0FFA">
        <w:rPr>
          <w:rFonts w:ascii="Times New Roman" w:hAnsi="Times New Roman" w:cs="Times New Roman"/>
          <w:b/>
          <w:bCs/>
          <w:sz w:val="28"/>
          <w:szCs w:val="28"/>
        </w:rPr>
        <w:t>International alignment:</w:t>
      </w:r>
      <w:r w:rsidRPr="009D0FFA">
        <w:rPr>
          <w:rFonts w:ascii="Times New Roman" w:hAnsi="Times New Roman" w:cs="Times New Roman"/>
          <w:sz w:val="28"/>
          <w:szCs w:val="28"/>
        </w:rPr>
        <w:t xml:space="preserve"> CE Mark targeting MDR Class </w:t>
      </w:r>
      <w:proofErr w:type="spellStart"/>
      <w:r w:rsidRPr="009D0FFA">
        <w:rPr>
          <w:rFonts w:ascii="Times New Roman" w:hAnsi="Times New Roman" w:cs="Times New Roman"/>
          <w:sz w:val="28"/>
          <w:szCs w:val="28"/>
        </w:rPr>
        <w:t>IIa</w:t>
      </w:r>
      <w:proofErr w:type="spellEnd"/>
      <w:r w:rsidRPr="009D0FFA">
        <w:rPr>
          <w:rFonts w:ascii="Times New Roman" w:hAnsi="Times New Roman" w:cs="Times New Roman"/>
          <w:sz w:val="28"/>
          <w:szCs w:val="28"/>
        </w:rPr>
        <w:t xml:space="preserve"> classification for non-sedating emergency biomedical devices.</w:t>
      </w:r>
    </w:p>
    <w:p w14:paraId="78F18DDA" w14:textId="77777777" w:rsidR="009D0FFA" w:rsidRPr="009D0FFA" w:rsidRDefault="009D0FFA" w:rsidP="009D0FFA">
      <w:pPr>
        <w:numPr>
          <w:ilvl w:val="0"/>
          <w:numId w:val="20"/>
        </w:numPr>
        <w:rPr>
          <w:rFonts w:ascii="Times New Roman" w:hAnsi="Times New Roman" w:cs="Times New Roman"/>
          <w:sz w:val="28"/>
          <w:szCs w:val="28"/>
        </w:rPr>
      </w:pPr>
      <w:r w:rsidRPr="009D0FFA">
        <w:rPr>
          <w:rFonts w:ascii="Times New Roman" w:hAnsi="Times New Roman" w:cs="Times New Roman"/>
          <w:b/>
          <w:bCs/>
          <w:sz w:val="28"/>
          <w:szCs w:val="28"/>
        </w:rPr>
        <w:lastRenderedPageBreak/>
        <w:t>Licensing:</w:t>
      </w:r>
      <w:r w:rsidRPr="009D0FFA">
        <w:rPr>
          <w:rFonts w:ascii="Times New Roman" w:hAnsi="Times New Roman" w:cs="Times New Roman"/>
          <w:sz w:val="28"/>
          <w:szCs w:val="28"/>
        </w:rPr>
        <w:t xml:space="preserve"> CC0 interoperability to enable independent audit, verification, and constrained re-implementation.</w:t>
      </w:r>
    </w:p>
    <w:p w14:paraId="65DBCFA4" w14:textId="77777777" w:rsidR="009D0FFA" w:rsidRPr="009D0FFA" w:rsidRDefault="009D0FFA" w:rsidP="009D0FFA">
      <w:pPr>
        <w:rPr>
          <w:rFonts w:ascii="Times New Roman" w:hAnsi="Times New Roman" w:cs="Times New Roman"/>
          <w:b/>
          <w:bCs/>
          <w:sz w:val="34"/>
          <w:szCs w:val="34"/>
        </w:rPr>
      </w:pPr>
      <w:r w:rsidRPr="009D0FFA">
        <w:rPr>
          <w:rFonts w:ascii="Times New Roman" w:hAnsi="Times New Roman" w:cs="Times New Roman"/>
          <w:b/>
          <w:bCs/>
          <w:sz w:val="34"/>
          <w:szCs w:val="34"/>
        </w:rPr>
        <w:t>Identified Gaps</w:t>
      </w:r>
    </w:p>
    <w:p w14:paraId="3CB9B2B3"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Key non-scientific dependencies include:</w:t>
      </w:r>
    </w:p>
    <w:p w14:paraId="3B095AFD" w14:textId="77777777" w:rsidR="009D0FFA" w:rsidRPr="009D0FFA" w:rsidRDefault="009D0FFA" w:rsidP="009D0FFA">
      <w:pPr>
        <w:numPr>
          <w:ilvl w:val="0"/>
          <w:numId w:val="21"/>
        </w:numPr>
        <w:rPr>
          <w:rFonts w:ascii="Times New Roman" w:hAnsi="Times New Roman" w:cs="Times New Roman"/>
          <w:sz w:val="28"/>
          <w:szCs w:val="28"/>
        </w:rPr>
      </w:pPr>
      <w:r w:rsidRPr="009D0FFA">
        <w:rPr>
          <w:rFonts w:ascii="Times New Roman" w:hAnsi="Times New Roman" w:cs="Times New Roman"/>
          <w:sz w:val="28"/>
          <w:szCs w:val="28"/>
        </w:rPr>
        <w:t>Wearable OEM integration suitable for adult operational environments</w:t>
      </w:r>
    </w:p>
    <w:p w14:paraId="70F46D34" w14:textId="77777777" w:rsidR="009D0FFA" w:rsidRPr="009D0FFA" w:rsidRDefault="009D0FFA" w:rsidP="009D0FFA">
      <w:pPr>
        <w:numPr>
          <w:ilvl w:val="0"/>
          <w:numId w:val="21"/>
        </w:numPr>
        <w:rPr>
          <w:rFonts w:ascii="Times New Roman" w:hAnsi="Times New Roman" w:cs="Times New Roman"/>
          <w:sz w:val="28"/>
          <w:szCs w:val="28"/>
        </w:rPr>
      </w:pPr>
      <w:r w:rsidRPr="009D0FFA">
        <w:rPr>
          <w:rFonts w:ascii="Times New Roman" w:hAnsi="Times New Roman" w:cs="Times New Roman"/>
          <w:sz w:val="28"/>
          <w:szCs w:val="28"/>
        </w:rPr>
        <w:t>Scalable microneedle fabrication partners</w:t>
      </w:r>
    </w:p>
    <w:p w14:paraId="6C0E672A" w14:textId="77777777" w:rsidR="009D0FFA" w:rsidRPr="009D0FFA" w:rsidRDefault="009D0FFA" w:rsidP="009D0FFA">
      <w:pPr>
        <w:numPr>
          <w:ilvl w:val="0"/>
          <w:numId w:val="21"/>
        </w:numPr>
        <w:rPr>
          <w:rFonts w:ascii="Times New Roman" w:hAnsi="Times New Roman" w:cs="Times New Roman"/>
          <w:sz w:val="28"/>
          <w:szCs w:val="28"/>
        </w:rPr>
      </w:pPr>
      <w:r w:rsidRPr="009D0FFA">
        <w:rPr>
          <w:rFonts w:ascii="Times New Roman" w:hAnsi="Times New Roman" w:cs="Times New Roman"/>
          <w:sz w:val="28"/>
          <w:szCs w:val="28"/>
        </w:rPr>
        <w:t>High-quality adult physiological stress datasets for classifier validation</w:t>
      </w:r>
    </w:p>
    <w:p w14:paraId="1C35D150" w14:textId="5E054D64" w:rsidR="009D0FFA" w:rsidRDefault="009D0FFA" w:rsidP="00A34646">
      <w:pPr>
        <w:spacing w:after="0"/>
        <w:rPr>
          <w:rFonts w:ascii="Times New Roman" w:hAnsi="Times New Roman" w:cs="Times New Roman"/>
          <w:sz w:val="28"/>
          <w:szCs w:val="28"/>
        </w:rPr>
      </w:pPr>
      <w:r w:rsidRPr="009D0FFA">
        <w:rPr>
          <w:rFonts w:ascii="Times New Roman" w:hAnsi="Times New Roman" w:cs="Times New Roman"/>
          <w:sz w:val="28"/>
          <w:szCs w:val="28"/>
        </w:rPr>
        <w:t>These gaps are explicitly acknowledged to prevent premature deployment assumptions.</w:t>
      </w:r>
    </w:p>
    <w:p w14:paraId="10F1F0E6" w14:textId="77777777" w:rsidR="00A46A55" w:rsidRPr="009D0FFA" w:rsidRDefault="00A46A55" w:rsidP="00A46A55">
      <w:pPr>
        <w:pBdr>
          <w:bottom w:val="single" w:sz="4" w:space="1" w:color="auto"/>
        </w:pBdr>
        <w:rPr>
          <w:rFonts w:ascii="Times New Roman" w:hAnsi="Times New Roman" w:cs="Times New Roman"/>
          <w:sz w:val="28"/>
          <w:szCs w:val="28"/>
        </w:rPr>
      </w:pPr>
    </w:p>
    <w:p w14:paraId="1393C034" w14:textId="12E3C218" w:rsidR="00F71AD8" w:rsidRDefault="00974282" w:rsidP="00A46A55">
      <w:pPr>
        <w:spacing w:before="240"/>
        <w:rPr>
          <w:rFonts w:ascii="Times New Roman" w:hAnsi="Times New Roman" w:cs="Times New Roman"/>
          <w:b/>
          <w:bCs/>
          <w:sz w:val="34"/>
          <w:szCs w:val="34"/>
        </w:rPr>
      </w:pPr>
      <w:r>
        <w:rPr>
          <w:rFonts w:ascii="Times New Roman" w:hAnsi="Times New Roman" w:cs="Times New Roman"/>
          <w:b/>
          <w:bCs/>
          <w:sz w:val="34"/>
          <w:szCs w:val="34"/>
        </w:rPr>
        <w:t>8. Candidate Peptides</w:t>
      </w:r>
    </w:p>
    <w:p w14:paraId="5662EA46" w14:textId="6332EE85" w:rsidR="00F71AD8" w:rsidRPr="00F71AD8" w:rsidRDefault="00F71AD8" w:rsidP="00F71AD8">
      <w:pPr>
        <w:rPr>
          <w:rFonts w:ascii="Times New Roman" w:hAnsi="Times New Roman" w:cs="Times New Roman"/>
          <w:b/>
          <w:bCs/>
          <w:sz w:val="34"/>
          <w:szCs w:val="34"/>
        </w:rPr>
      </w:pPr>
      <w:r w:rsidRPr="00F71AD8">
        <w:rPr>
          <w:rFonts w:ascii="Times New Roman" w:hAnsi="Times New Roman" w:cs="Times New Roman"/>
          <w:b/>
          <w:bCs/>
          <w:sz w:val="34"/>
          <w:szCs w:val="34"/>
        </w:rPr>
        <w:t xml:space="preserve">1. Candidate Peptide Classes for Psychophysiological Support </w:t>
      </w:r>
    </w:p>
    <w:p w14:paraId="2BC26782" w14:textId="77777777" w:rsidR="00F71AD8" w:rsidRPr="00F71AD8" w:rsidRDefault="00F71AD8" w:rsidP="00F71AD8">
      <w:pPr>
        <w:rPr>
          <w:rFonts w:ascii="Times New Roman" w:hAnsi="Times New Roman" w:cs="Times New Roman"/>
          <w:sz w:val="28"/>
          <w:szCs w:val="28"/>
        </w:rPr>
      </w:pPr>
      <w:r w:rsidRPr="00F71AD8">
        <w:rPr>
          <w:rFonts w:ascii="Times New Roman" w:hAnsi="Times New Roman" w:cs="Times New Roman"/>
          <w:sz w:val="28"/>
          <w:szCs w:val="28"/>
        </w:rPr>
        <w:t xml:space="preserve">The CERBERUS concept is intentionally constrained to </w:t>
      </w:r>
      <w:r w:rsidRPr="00F71AD8">
        <w:rPr>
          <w:rFonts w:ascii="Times New Roman" w:hAnsi="Times New Roman" w:cs="Times New Roman"/>
          <w:b/>
          <w:bCs/>
          <w:sz w:val="28"/>
          <w:szCs w:val="28"/>
        </w:rPr>
        <w:t>acute physiological buffering and recovery support</w:t>
      </w:r>
      <w:r w:rsidRPr="00F71AD8">
        <w:rPr>
          <w:rFonts w:ascii="Times New Roman" w:hAnsi="Times New Roman" w:cs="Times New Roman"/>
          <w:sz w:val="28"/>
          <w:szCs w:val="28"/>
        </w:rPr>
        <w:t xml:space="preserve">, not enhancement beyond baseline. Within that boundary, a limited set of </w:t>
      </w:r>
      <w:r w:rsidRPr="00F71AD8">
        <w:rPr>
          <w:rFonts w:ascii="Times New Roman" w:hAnsi="Times New Roman" w:cs="Times New Roman"/>
          <w:b/>
          <w:bCs/>
          <w:sz w:val="28"/>
          <w:szCs w:val="28"/>
        </w:rPr>
        <w:t>peptide and peptide-like candidates</w:t>
      </w:r>
      <w:r w:rsidRPr="00F71AD8">
        <w:rPr>
          <w:rFonts w:ascii="Times New Roman" w:hAnsi="Times New Roman" w:cs="Times New Roman"/>
          <w:sz w:val="28"/>
          <w:szCs w:val="28"/>
        </w:rPr>
        <w:t xml:space="preserve"> have been reported in preclinical literature to engage pathways relevant to </w:t>
      </w:r>
      <w:r w:rsidRPr="00F71AD8">
        <w:rPr>
          <w:rFonts w:ascii="Times New Roman" w:hAnsi="Times New Roman" w:cs="Times New Roman"/>
          <w:b/>
          <w:bCs/>
          <w:sz w:val="28"/>
          <w:szCs w:val="28"/>
        </w:rPr>
        <w:t>neurotrophic signaling, autonomic stability, vascular integrity, and inflammatory resolution</w:t>
      </w:r>
      <w:r w:rsidRPr="00F71AD8">
        <w:rPr>
          <w:rFonts w:ascii="Times New Roman" w:hAnsi="Times New Roman" w:cs="Times New Roman"/>
          <w:sz w:val="28"/>
          <w:szCs w:val="28"/>
        </w:rPr>
        <w:t xml:space="preserve">. These candidates are noted here </w:t>
      </w:r>
      <w:r w:rsidRPr="00F71AD8">
        <w:rPr>
          <w:rFonts w:ascii="Times New Roman" w:hAnsi="Times New Roman" w:cs="Times New Roman"/>
          <w:b/>
          <w:bCs/>
          <w:sz w:val="28"/>
          <w:szCs w:val="28"/>
        </w:rPr>
        <w:t>solely as exploratory considerations</w:t>
      </w:r>
      <w:r w:rsidRPr="00F71AD8">
        <w:rPr>
          <w:rFonts w:ascii="Times New Roman" w:hAnsi="Times New Roman" w:cs="Times New Roman"/>
          <w:sz w:val="28"/>
          <w:szCs w:val="28"/>
        </w:rPr>
        <w:t>, recognizing that route of administration, context, and translational validity remain decisive unknowns.</w:t>
      </w:r>
    </w:p>
    <w:p w14:paraId="5C09A52A" w14:textId="77777777" w:rsidR="00F71AD8" w:rsidRPr="00F71AD8" w:rsidRDefault="00F71AD8" w:rsidP="00F71AD8">
      <w:pPr>
        <w:rPr>
          <w:rFonts w:ascii="Times New Roman" w:hAnsi="Times New Roman" w:cs="Times New Roman"/>
          <w:sz w:val="28"/>
          <w:szCs w:val="28"/>
        </w:rPr>
      </w:pPr>
      <w:r w:rsidRPr="00F71AD8">
        <w:rPr>
          <w:rFonts w:ascii="Times New Roman" w:hAnsi="Times New Roman" w:cs="Times New Roman"/>
          <w:sz w:val="28"/>
          <w:szCs w:val="28"/>
        </w:rPr>
        <w:t>Candidate classes include:</w:t>
      </w:r>
    </w:p>
    <w:p w14:paraId="79122C46" w14:textId="77777777" w:rsidR="00F71AD8" w:rsidRPr="00F71AD8" w:rsidRDefault="00F71AD8" w:rsidP="00F71AD8">
      <w:pPr>
        <w:numPr>
          <w:ilvl w:val="0"/>
          <w:numId w:val="23"/>
        </w:numPr>
        <w:rPr>
          <w:rFonts w:ascii="Times New Roman" w:hAnsi="Times New Roman" w:cs="Times New Roman"/>
          <w:sz w:val="28"/>
          <w:szCs w:val="28"/>
        </w:rPr>
      </w:pPr>
      <w:r w:rsidRPr="00F71AD8">
        <w:rPr>
          <w:rFonts w:ascii="Times New Roman" w:hAnsi="Times New Roman" w:cs="Times New Roman"/>
          <w:b/>
          <w:bCs/>
          <w:sz w:val="28"/>
          <w:szCs w:val="28"/>
        </w:rPr>
        <w:t>Cytoprotective and neurovascular stabilizers</w:t>
      </w:r>
      <w:r w:rsidRPr="00F71AD8">
        <w:rPr>
          <w:rFonts w:ascii="Times New Roman" w:hAnsi="Times New Roman" w:cs="Times New Roman"/>
          <w:sz w:val="28"/>
          <w:szCs w:val="28"/>
        </w:rPr>
        <w:t xml:space="preserve">, such as gastric </w:t>
      </w:r>
      <w:proofErr w:type="spellStart"/>
      <w:r w:rsidRPr="00F71AD8">
        <w:rPr>
          <w:rFonts w:ascii="Times New Roman" w:hAnsi="Times New Roman" w:cs="Times New Roman"/>
          <w:sz w:val="28"/>
          <w:szCs w:val="28"/>
        </w:rPr>
        <w:t>pentadecapeptides</w:t>
      </w:r>
      <w:proofErr w:type="spellEnd"/>
      <w:r w:rsidRPr="00F71AD8">
        <w:rPr>
          <w:rFonts w:ascii="Times New Roman" w:hAnsi="Times New Roman" w:cs="Times New Roman"/>
          <w:sz w:val="28"/>
          <w:szCs w:val="28"/>
        </w:rPr>
        <w:t xml:space="preserve"> (e.g., BPC-157), which have been associated with nitric-oxide–mediated microvascular protection, monoaminergic homeostasis, and secondary injury attenuation following trauma analogs.</w:t>
      </w:r>
    </w:p>
    <w:p w14:paraId="49396879" w14:textId="77777777" w:rsidR="00F71AD8" w:rsidRPr="00F71AD8" w:rsidRDefault="00F71AD8" w:rsidP="00F71AD8">
      <w:pPr>
        <w:numPr>
          <w:ilvl w:val="0"/>
          <w:numId w:val="23"/>
        </w:numPr>
        <w:rPr>
          <w:rFonts w:ascii="Times New Roman" w:hAnsi="Times New Roman" w:cs="Times New Roman"/>
          <w:sz w:val="28"/>
          <w:szCs w:val="28"/>
        </w:rPr>
      </w:pPr>
      <w:r w:rsidRPr="00F71AD8">
        <w:rPr>
          <w:rFonts w:ascii="Times New Roman" w:hAnsi="Times New Roman" w:cs="Times New Roman"/>
          <w:b/>
          <w:bCs/>
          <w:sz w:val="28"/>
          <w:szCs w:val="28"/>
        </w:rPr>
        <w:t>Actin-regulatory and repair-associated peptides</w:t>
      </w:r>
      <w:r w:rsidRPr="00F71AD8">
        <w:rPr>
          <w:rFonts w:ascii="Times New Roman" w:hAnsi="Times New Roman" w:cs="Times New Roman"/>
          <w:sz w:val="28"/>
          <w:szCs w:val="28"/>
        </w:rPr>
        <w:t xml:space="preserve">, including thymosin β4–derived fragments (e.g., TB-500), reported to engage pathways linked to </w:t>
      </w:r>
      <w:r w:rsidRPr="00F71AD8">
        <w:rPr>
          <w:rFonts w:ascii="Times New Roman" w:hAnsi="Times New Roman" w:cs="Times New Roman"/>
          <w:sz w:val="28"/>
          <w:szCs w:val="28"/>
        </w:rPr>
        <w:lastRenderedPageBreak/>
        <w:t>oligodendrocyte support, inflammatory resolution, angiogenesis, and structural recovery signaling.</w:t>
      </w:r>
    </w:p>
    <w:p w14:paraId="3A69CB4A" w14:textId="77777777" w:rsidR="00F71AD8" w:rsidRPr="00F71AD8" w:rsidRDefault="00F71AD8" w:rsidP="00F71AD8">
      <w:pPr>
        <w:numPr>
          <w:ilvl w:val="0"/>
          <w:numId w:val="23"/>
        </w:numPr>
        <w:rPr>
          <w:rFonts w:ascii="Times New Roman" w:hAnsi="Times New Roman" w:cs="Times New Roman"/>
          <w:sz w:val="28"/>
          <w:szCs w:val="28"/>
        </w:rPr>
      </w:pPr>
      <w:r w:rsidRPr="00F71AD8">
        <w:rPr>
          <w:rFonts w:ascii="Times New Roman" w:hAnsi="Times New Roman" w:cs="Times New Roman"/>
          <w:b/>
          <w:bCs/>
          <w:sz w:val="28"/>
          <w:szCs w:val="28"/>
        </w:rPr>
        <w:t xml:space="preserve">Neuropeptide analogs with reported </w:t>
      </w:r>
      <w:proofErr w:type="spellStart"/>
      <w:r w:rsidRPr="00F71AD8">
        <w:rPr>
          <w:rFonts w:ascii="Times New Roman" w:hAnsi="Times New Roman" w:cs="Times New Roman"/>
          <w:b/>
          <w:bCs/>
          <w:sz w:val="28"/>
          <w:szCs w:val="28"/>
        </w:rPr>
        <w:t>neurotrophin</w:t>
      </w:r>
      <w:proofErr w:type="spellEnd"/>
      <w:r w:rsidRPr="00F71AD8">
        <w:rPr>
          <w:rFonts w:ascii="Times New Roman" w:hAnsi="Times New Roman" w:cs="Times New Roman"/>
          <w:b/>
          <w:bCs/>
          <w:sz w:val="28"/>
          <w:szCs w:val="28"/>
        </w:rPr>
        <w:t xml:space="preserve"> pathway modulation</w:t>
      </w:r>
      <w:r w:rsidRPr="00F71AD8">
        <w:rPr>
          <w:rFonts w:ascii="Times New Roman" w:hAnsi="Times New Roman" w:cs="Times New Roman"/>
          <w:sz w:val="28"/>
          <w:szCs w:val="28"/>
        </w:rPr>
        <w:t xml:space="preserve">, such as ACTH-derived or </w:t>
      </w:r>
      <w:proofErr w:type="spellStart"/>
      <w:r w:rsidRPr="00F71AD8">
        <w:rPr>
          <w:rFonts w:ascii="Times New Roman" w:hAnsi="Times New Roman" w:cs="Times New Roman"/>
          <w:sz w:val="28"/>
          <w:szCs w:val="28"/>
        </w:rPr>
        <w:t>tuftsin</w:t>
      </w:r>
      <w:proofErr w:type="spellEnd"/>
      <w:r w:rsidRPr="00F71AD8">
        <w:rPr>
          <w:rFonts w:ascii="Times New Roman" w:hAnsi="Times New Roman" w:cs="Times New Roman"/>
          <w:sz w:val="28"/>
          <w:szCs w:val="28"/>
        </w:rPr>
        <w:t xml:space="preserve">-derived peptides (e.g., </w:t>
      </w:r>
      <w:proofErr w:type="spellStart"/>
      <w:r w:rsidRPr="00F71AD8">
        <w:rPr>
          <w:rFonts w:ascii="Times New Roman" w:hAnsi="Times New Roman" w:cs="Times New Roman"/>
          <w:sz w:val="28"/>
          <w:szCs w:val="28"/>
        </w:rPr>
        <w:t>Semax</w:t>
      </w:r>
      <w:proofErr w:type="spellEnd"/>
      <w:r w:rsidRPr="00F71AD8">
        <w:rPr>
          <w:rFonts w:ascii="Times New Roman" w:hAnsi="Times New Roman" w:cs="Times New Roman"/>
          <w:sz w:val="28"/>
          <w:szCs w:val="28"/>
        </w:rPr>
        <w:t xml:space="preserve">- or </w:t>
      </w:r>
      <w:proofErr w:type="spellStart"/>
      <w:r w:rsidRPr="00F71AD8">
        <w:rPr>
          <w:rFonts w:ascii="Times New Roman" w:hAnsi="Times New Roman" w:cs="Times New Roman"/>
          <w:sz w:val="28"/>
          <w:szCs w:val="28"/>
        </w:rPr>
        <w:t>Selank</w:t>
      </w:r>
      <w:proofErr w:type="spellEnd"/>
      <w:r w:rsidRPr="00F71AD8">
        <w:rPr>
          <w:rFonts w:ascii="Times New Roman" w:hAnsi="Times New Roman" w:cs="Times New Roman"/>
          <w:sz w:val="28"/>
          <w:szCs w:val="28"/>
        </w:rPr>
        <w:t>-class compounds), which have demonstrated context-dependent effects on BDNF/NGF expression or Trk signaling in preclinical models, often via non-systemic routes.</w:t>
      </w:r>
    </w:p>
    <w:p w14:paraId="07A8ADDA" w14:textId="77777777" w:rsidR="00F71AD8" w:rsidRPr="00F71AD8" w:rsidRDefault="00F71AD8" w:rsidP="00F71AD8">
      <w:pPr>
        <w:numPr>
          <w:ilvl w:val="0"/>
          <w:numId w:val="23"/>
        </w:numPr>
        <w:rPr>
          <w:rFonts w:ascii="Times New Roman" w:hAnsi="Times New Roman" w:cs="Times New Roman"/>
          <w:sz w:val="28"/>
          <w:szCs w:val="28"/>
        </w:rPr>
      </w:pPr>
      <w:proofErr w:type="spellStart"/>
      <w:r w:rsidRPr="00F71AD8">
        <w:rPr>
          <w:rFonts w:ascii="Times New Roman" w:hAnsi="Times New Roman" w:cs="Times New Roman"/>
          <w:b/>
          <w:bCs/>
          <w:sz w:val="28"/>
          <w:szCs w:val="28"/>
        </w:rPr>
        <w:t>Neurotrophin</w:t>
      </w:r>
      <w:proofErr w:type="spellEnd"/>
      <w:r w:rsidRPr="00F71AD8">
        <w:rPr>
          <w:rFonts w:ascii="Times New Roman" w:hAnsi="Times New Roman" w:cs="Times New Roman"/>
          <w:b/>
          <w:bCs/>
          <w:sz w:val="28"/>
          <w:szCs w:val="28"/>
        </w:rPr>
        <w:t>-mimetic peptide families</w:t>
      </w:r>
      <w:r w:rsidRPr="00F71AD8">
        <w:rPr>
          <w:rFonts w:ascii="Times New Roman" w:hAnsi="Times New Roman" w:cs="Times New Roman"/>
          <w:sz w:val="28"/>
          <w:szCs w:val="28"/>
        </w:rPr>
        <w:t>, designed to activate Trk receptors or downstream survival pathways without direct administration of full neurotrophins, offering a mechanistically targeted—but still experimental—approach to neuroprotective signaling.</w:t>
      </w:r>
    </w:p>
    <w:p w14:paraId="6D22411C" w14:textId="5A3472EA" w:rsidR="00F71AD8" w:rsidRPr="00F71AD8" w:rsidRDefault="00F71AD8" w:rsidP="00F71AD8">
      <w:pPr>
        <w:numPr>
          <w:ilvl w:val="0"/>
          <w:numId w:val="23"/>
        </w:numPr>
        <w:rPr>
          <w:rFonts w:ascii="Times New Roman" w:hAnsi="Times New Roman" w:cs="Times New Roman"/>
          <w:sz w:val="28"/>
          <w:szCs w:val="28"/>
        </w:rPr>
      </w:pPr>
      <w:r w:rsidRPr="00F71AD8">
        <w:rPr>
          <w:rFonts w:ascii="Times New Roman" w:hAnsi="Times New Roman" w:cs="Times New Roman"/>
          <w:b/>
          <w:bCs/>
          <w:sz w:val="28"/>
          <w:szCs w:val="28"/>
        </w:rPr>
        <w:t>Peripheral growth-factor–associated peptides</w:t>
      </w:r>
      <w:r w:rsidRPr="00F71AD8">
        <w:rPr>
          <w:rFonts w:ascii="Times New Roman" w:hAnsi="Times New Roman" w:cs="Times New Roman"/>
          <w:sz w:val="28"/>
          <w:szCs w:val="28"/>
        </w:rPr>
        <w:t xml:space="preserve"> (e.g., IGF-1–linked signaling peptides), which may indirectly influence neuroplasticity and recovery cascades through systemic metabolic and vascular mechanisms, though CNS effects from peripheral delivery remain model-dependent.</w:t>
      </w:r>
    </w:p>
    <w:p w14:paraId="79D1EEE0" w14:textId="243C584E" w:rsidR="00F71AD8" w:rsidRDefault="00F71AD8" w:rsidP="009D0FFA">
      <w:pPr>
        <w:rPr>
          <w:rFonts w:ascii="Times New Roman" w:hAnsi="Times New Roman" w:cs="Times New Roman"/>
          <w:sz w:val="28"/>
          <w:szCs w:val="28"/>
        </w:rPr>
      </w:pPr>
      <w:r w:rsidRPr="00F71AD8">
        <w:rPr>
          <w:rFonts w:ascii="Times New Roman" w:hAnsi="Times New Roman" w:cs="Times New Roman"/>
          <w:sz w:val="28"/>
          <w:szCs w:val="28"/>
        </w:rPr>
        <w:t xml:space="preserve">It is emphasized that </w:t>
      </w:r>
      <w:r w:rsidRPr="00F71AD8">
        <w:rPr>
          <w:rFonts w:ascii="Times New Roman" w:hAnsi="Times New Roman" w:cs="Times New Roman"/>
          <w:b/>
          <w:bCs/>
          <w:sz w:val="28"/>
          <w:szCs w:val="28"/>
        </w:rPr>
        <w:t xml:space="preserve">reported </w:t>
      </w:r>
      <w:proofErr w:type="spellStart"/>
      <w:r w:rsidRPr="00F71AD8">
        <w:rPr>
          <w:rFonts w:ascii="Times New Roman" w:hAnsi="Times New Roman" w:cs="Times New Roman"/>
          <w:b/>
          <w:bCs/>
          <w:sz w:val="28"/>
          <w:szCs w:val="28"/>
        </w:rPr>
        <w:t>neurotrophin</w:t>
      </w:r>
      <w:proofErr w:type="spellEnd"/>
      <w:r w:rsidRPr="00F71AD8">
        <w:rPr>
          <w:rFonts w:ascii="Times New Roman" w:hAnsi="Times New Roman" w:cs="Times New Roman"/>
          <w:b/>
          <w:bCs/>
          <w:sz w:val="28"/>
          <w:szCs w:val="28"/>
        </w:rPr>
        <w:t xml:space="preserve"> or psychophysiological effects are highly contingent on delivery route, timing, and stress context</w:t>
      </w:r>
      <w:r w:rsidRPr="00F71AD8">
        <w:rPr>
          <w:rFonts w:ascii="Times New Roman" w:hAnsi="Times New Roman" w:cs="Times New Roman"/>
          <w:sz w:val="28"/>
          <w:szCs w:val="28"/>
        </w:rPr>
        <w:t xml:space="preserve">, and that </w:t>
      </w:r>
      <w:r w:rsidRPr="00F71AD8">
        <w:rPr>
          <w:rFonts w:ascii="Times New Roman" w:hAnsi="Times New Roman" w:cs="Times New Roman"/>
          <w:b/>
          <w:bCs/>
          <w:sz w:val="28"/>
          <w:szCs w:val="28"/>
        </w:rPr>
        <w:t>peripheral administration cannot be assumed to reproduce central nervous system outcomes</w:t>
      </w:r>
      <w:r w:rsidRPr="00F71AD8">
        <w:rPr>
          <w:rFonts w:ascii="Times New Roman" w:hAnsi="Times New Roman" w:cs="Times New Roman"/>
          <w:sz w:val="28"/>
          <w:szCs w:val="28"/>
        </w:rPr>
        <w:t xml:space="preserve"> observed in intranasal or intracerebral studies. Accordingly, inclusion of these candidates does not imply efficacy, safety, or suitability for operational use.</w:t>
      </w:r>
    </w:p>
    <w:p w14:paraId="3007B679" w14:textId="77777777" w:rsidR="00A34646" w:rsidRDefault="00A34646" w:rsidP="00974282">
      <w:pPr>
        <w:pBdr>
          <w:bottom w:val="single" w:sz="4" w:space="1" w:color="auto"/>
        </w:pBdr>
        <w:rPr>
          <w:rFonts w:ascii="Times New Roman" w:hAnsi="Times New Roman" w:cs="Times New Roman"/>
          <w:sz w:val="28"/>
          <w:szCs w:val="28"/>
        </w:rPr>
      </w:pPr>
    </w:p>
    <w:p w14:paraId="04FECD4B" w14:textId="77777777" w:rsidR="00974282" w:rsidRPr="00974282" w:rsidRDefault="00974282" w:rsidP="00974282">
      <w:pPr>
        <w:spacing w:before="240"/>
        <w:rPr>
          <w:rFonts w:ascii="Times New Roman" w:hAnsi="Times New Roman" w:cs="Times New Roman"/>
          <w:b/>
          <w:bCs/>
          <w:sz w:val="34"/>
          <w:szCs w:val="34"/>
        </w:rPr>
      </w:pPr>
      <w:r>
        <w:rPr>
          <w:rFonts w:ascii="Times New Roman" w:hAnsi="Times New Roman" w:cs="Times New Roman"/>
          <w:b/>
          <w:bCs/>
          <w:sz w:val="34"/>
          <w:szCs w:val="34"/>
        </w:rPr>
        <w:t xml:space="preserve">9. </w:t>
      </w:r>
      <w:r w:rsidRPr="00974282">
        <w:rPr>
          <w:rFonts w:ascii="Times New Roman" w:hAnsi="Times New Roman" w:cs="Times New Roman"/>
          <w:b/>
          <w:bCs/>
          <w:sz w:val="34"/>
          <w:szCs w:val="34"/>
        </w:rPr>
        <w:t>Comparative Doctrine: Why Conventional Psychotropics Fail in Acute Biological Containment</w:t>
      </w:r>
    </w:p>
    <w:p w14:paraId="3E1657AA"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Scope Boundary</w:t>
      </w:r>
    </w:p>
    <w:p w14:paraId="7A2DEF0B"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This section compares mechanistic fitness, not clinical legitimacy. Psychotropics remain appropriate for many chronic conditions. The comparison here is restricted to acute, time-critical biological containment under extreme stress, where seconds to minutes matter and cognitive integrity must be preserved.</w:t>
      </w:r>
    </w:p>
    <w:p w14:paraId="4F38747A"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lastRenderedPageBreak/>
        <w:t>Temporal Mismatch</w:t>
      </w:r>
    </w:p>
    <w:p w14:paraId="43D95359"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Conventional psychotropics (e.g., SSRIs, SNRIs, benzodiazepines, antipsychotics) are optimized for chronic modulation of neurotransmission. Their therapeutic timelines—hours to weeks—are mismatched to acute escalation, where secondary injury unfolds before behavioral awareness or medical access.</w:t>
      </w:r>
    </w:p>
    <w:p w14:paraId="035F4DCF"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By contrast, peptide and growth-factor–linked pathways act upstream of neurotransmission, engaging intracellular signaling, vascular tone, inflammatory resolution, and structural support within minutes to hours. This temporal alignment is essential for containment rather than symptom management.</w:t>
      </w:r>
    </w:p>
    <w:p w14:paraId="7A38B4D2"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Mechanistic Layer: Neurotransmitters vs. Trophic Signaling</w:t>
      </w:r>
    </w:p>
    <w:p w14:paraId="6C7DC616"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Psychotropics primarily alter synaptic availability or receptor occupancy of monoamines or GABA. While this can blunt symptoms, it does not directly address:</w:t>
      </w:r>
    </w:p>
    <w:p w14:paraId="3025261D" w14:textId="77777777" w:rsidR="00974282" w:rsidRPr="00974282" w:rsidRDefault="00974282" w:rsidP="00974282">
      <w:pPr>
        <w:numPr>
          <w:ilvl w:val="0"/>
          <w:numId w:val="31"/>
        </w:numPr>
        <w:rPr>
          <w:rFonts w:ascii="Times New Roman" w:hAnsi="Times New Roman" w:cs="Times New Roman"/>
          <w:sz w:val="28"/>
          <w:szCs w:val="28"/>
        </w:rPr>
      </w:pPr>
      <w:r w:rsidRPr="00974282">
        <w:rPr>
          <w:rFonts w:ascii="Times New Roman" w:hAnsi="Times New Roman" w:cs="Times New Roman"/>
          <w:sz w:val="28"/>
          <w:szCs w:val="28"/>
        </w:rPr>
        <w:t>microvascular compromise,</w:t>
      </w:r>
    </w:p>
    <w:p w14:paraId="1C340493" w14:textId="77777777" w:rsidR="00974282" w:rsidRPr="00974282" w:rsidRDefault="00974282" w:rsidP="00974282">
      <w:pPr>
        <w:numPr>
          <w:ilvl w:val="0"/>
          <w:numId w:val="31"/>
        </w:numPr>
        <w:rPr>
          <w:rFonts w:ascii="Times New Roman" w:hAnsi="Times New Roman" w:cs="Times New Roman"/>
          <w:sz w:val="28"/>
          <w:szCs w:val="28"/>
        </w:rPr>
      </w:pPr>
      <w:r w:rsidRPr="00974282">
        <w:rPr>
          <w:rFonts w:ascii="Times New Roman" w:hAnsi="Times New Roman" w:cs="Times New Roman"/>
          <w:sz w:val="28"/>
          <w:szCs w:val="28"/>
        </w:rPr>
        <w:t>inflammatory amplification,</w:t>
      </w:r>
    </w:p>
    <w:p w14:paraId="12A02D4F" w14:textId="77777777" w:rsidR="00974282" w:rsidRPr="00974282" w:rsidRDefault="00974282" w:rsidP="00974282">
      <w:pPr>
        <w:numPr>
          <w:ilvl w:val="0"/>
          <w:numId w:val="31"/>
        </w:numPr>
        <w:rPr>
          <w:rFonts w:ascii="Times New Roman" w:hAnsi="Times New Roman" w:cs="Times New Roman"/>
          <w:sz w:val="28"/>
          <w:szCs w:val="28"/>
        </w:rPr>
      </w:pPr>
      <w:r w:rsidRPr="00974282">
        <w:rPr>
          <w:rFonts w:ascii="Times New Roman" w:hAnsi="Times New Roman" w:cs="Times New Roman"/>
          <w:sz w:val="28"/>
          <w:szCs w:val="28"/>
        </w:rPr>
        <w:t>mitochondrial stress,</w:t>
      </w:r>
    </w:p>
    <w:p w14:paraId="25F6E221" w14:textId="77777777" w:rsidR="00974282" w:rsidRPr="00974282" w:rsidRDefault="00974282" w:rsidP="00974282">
      <w:pPr>
        <w:numPr>
          <w:ilvl w:val="0"/>
          <w:numId w:val="31"/>
        </w:numPr>
        <w:rPr>
          <w:rFonts w:ascii="Times New Roman" w:hAnsi="Times New Roman" w:cs="Times New Roman"/>
          <w:sz w:val="28"/>
          <w:szCs w:val="28"/>
        </w:rPr>
      </w:pPr>
      <w:r w:rsidRPr="00974282">
        <w:rPr>
          <w:rFonts w:ascii="Times New Roman" w:hAnsi="Times New Roman" w:cs="Times New Roman"/>
          <w:sz w:val="28"/>
          <w:szCs w:val="28"/>
        </w:rPr>
        <w:t>cytoskeletal disruption,</w:t>
      </w:r>
    </w:p>
    <w:p w14:paraId="0B4DC8D5" w14:textId="77777777" w:rsidR="00974282" w:rsidRPr="00974282" w:rsidRDefault="00974282" w:rsidP="00974282">
      <w:pPr>
        <w:numPr>
          <w:ilvl w:val="0"/>
          <w:numId w:val="31"/>
        </w:numPr>
        <w:rPr>
          <w:rFonts w:ascii="Times New Roman" w:hAnsi="Times New Roman" w:cs="Times New Roman"/>
          <w:sz w:val="28"/>
          <w:szCs w:val="28"/>
        </w:rPr>
      </w:pPr>
      <w:r w:rsidRPr="00974282">
        <w:rPr>
          <w:rFonts w:ascii="Times New Roman" w:hAnsi="Times New Roman" w:cs="Times New Roman"/>
          <w:sz w:val="28"/>
          <w:szCs w:val="28"/>
        </w:rPr>
        <w:t>or epigenetic injury signaling.</w:t>
      </w:r>
    </w:p>
    <w:p w14:paraId="421E59BD"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Neurotrophic and growth-factor–associated peptides operate at a cellular resilience layer:</w:t>
      </w:r>
    </w:p>
    <w:p w14:paraId="216570A4" w14:textId="77777777" w:rsidR="00974282" w:rsidRPr="00974282" w:rsidRDefault="00974282" w:rsidP="00974282">
      <w:pPr>
        <w:numPr>
          <w:ilvl w:val="0"/>
          <w:numId w:val="32"/>
        </w:numPr>
        <w:rPr>
          <w:rFonts w:ascii="Times New Roman" w:hAnsi="Times New Roman" w:cs="Times New Roman"/>
          <w:sz w:val="28"/>
          <w:szCs w:val="28"/>
        </w:rPr>
      </w:pPr>
      <w:r w:rsidRPr="00974282">
        <w:rPr>
          <w:rFonts w:ascii="Times New Roman" w:hAnsi="Times New Roman" w:cs="Times New Roman"/>
          <w:sz w:val="28"/>
          <w:szCs w:val="28"/>
        </w:rPr>
        <w:t>activation of survival and repair cascades (e.g., Akt, ERK),</w:t>
      </w:r>
    </w:p>
    <w:p w14:paraId="4B9F1A45" w14:textId="77777777" w:rsidR="00974282" w:rsidRPr="00974282" w:rsidRDefault="00974282" w:rsidP="00974282">
      <w:pPr>
        <w:numPr>
          <w:ilvl w:val="0"/>
          <w:numId w:val="32"/>
        </w:numPr>
        <w:rPr>
          <w:rFonts w:ascii="Times New Roman" w:hAnsi="Times New Roman" w:cs="Times New Roman"/>
          <w:sz w:val="28"/>
          <w:szCs w:val="28"/>
        </w:rPr>
      </w:pPr>
      <w:r w:rsidRPr="00974282">
        <w:rPr>
          <w:rFonts w:ascii="Times New Roman" w:hAnsi="Times New Roman" w:cs="Times New Roman"/>
          <w:sz w:val="28"/>
          <w:szCs w:val="28"/>
        </w:rPr>
        <w:t>modulation of nitric-oxide–mediated perfusion,</w:t>
      </w:r>
    </w:p>
    <w:p w14:paraId="31BFA8FA" w14:textId="77777777" w:rsidR="00974282" w:rsidRPr="00974282" w:rsidRDefault="00974282" w:rsidP="00974282">
      <w:pPr>
        <w:numPr>
          <w:ilvl w:val="0"/>
          <w:numId w:val="32"/>
        </w:numPr>
        <w:rPr>
          <w:rFonts w:ascii="Times New Roman" w:hAnsi="Times New Roman" w:cs="Times New Roman"/>
          <w:sz w:val="28"/>
          <w:szCs w:val="28"/>
        </w:rPr>
      </w:pPr>
      <w:r w:rsidRPr="00974282">
        <w:rPr>
          <w:rFonts w:ascii="Times New Roman" w:hAnsi="Times New Roman" w:cs="Times New Roman"/>
          <w:sz w:val="28"/>
          <w:szCs w:val="28"/>
        </w:rPr>
        <w:t>suppression of maladaptive inflammatory transcription,</w:t>
      </w:r>
    </w:p>
    <w:p w14:paraId="20C2457B" w14:textId="77777777" w:rsidR="00974282" w:rsidRPr="00974282" w:rsidRDefault="00974282" w:rsidP="00974282">
      <w:pPr>
        <w:numPr>
          <w:ilvl w:val="0"/>
          <w:numId w:val="32"/>
        </w:numPr>
        <w:rPr>
          <w:rFonts w:ascii="Times New Roman" w:hAnsi="Times New Roman" w:cs="Times New Roman"/>
          <w:sz w:val="28"/>
          <w:szCs w:val="28"/>
        </w:rPr>
      </w:pPr>
      <w:r w:rsidRPr="00974282">
        <w:rPr>
          <w:rFonts w:ascii="Times New Roman" w:hAnsi="Times New Roman" w:cs="Times New Roman"/>
          <w:sz w:val="28"/>
          <w:szCs w:val="28"/>
        </w:rPr>
        <w:t>support of angiogenesis, myelin maintenance, and connective-tissue repair.</w:t>
      </w:r>
    </w:p>
    <w:p w14:paraId="57F03E2C"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lastRenderedPageBreak/>
        <w:t>These pathways buffer damage propagation rather than masking downstream perception.</w:t>
      </w:r>
    </w:p>
    <w:p w14:paraId="368E0A8E"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Cognitive Integrity and Operational Risk</w:t>
      </w:r>
    </w:p>
    <w:p w14:paraId="0237CAFF"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Sedative and anxiolytic psychotropics introduce cognitive trade-offs that are unacceptable in operational contexts:</w:t>
      </w:r>
    </w:p>
    <w:p w14:paraId="31735135" w14:textId="77777777" w:rsidR="00974282" w:rsidRPr="00974282" w:rsidRDefault="00974282" w:rsidP="00974282">
      <w:pPr>
        <w:numPr>
          <w:ilvl w:val="0"/>
          <w:numId w:val="33"/>
        </w:numPr>
        <w:rPr>
          <w:rFonts w:ascii="Times New Roman" w:hAnsi="Times New Roman" w:cs="Times New Roman"/>
          <w:sz w:val="28"/>
          <w:szCs w:val="28"/>
        </w:rPr>
      </w:pPr>
      <w:r w:rsidRPr="00974282">
        <w:rPr>
          <w:rFonts w:ascii="Times New Roman" w:hAnsi="Times New Roman" w:cs="Times New Roman"/>
          <w:sz w:val="28"/>
          <w:szCs w:val="28"/>
        </w:rPr>
        <w:t>reaction-time slowing,</w:t>
      </w:r>
    </w:p>
    <w:p w14:paraId="2FFF3D6B" w14:textId="77777777" w:rsidR="00974282" w:rsidRPr="00974282" w:rsidRDefault="00974282" w:rsidP="00974282">
      <w:pPr>
        <w:numPr>
          <w:ilvl w:val="0"/>
          <w:numId w:val="33"/>
        </w:numPr>
        <w:rPr>
          <w:rFonts w:ascii="Times New Roman" w:hAnsi="Times New Roman" w:cs="Times New Roman"/>
          <w:sz w:val="28"/>
          <w:szCs w:val="28"/>
        </w:rPr>
      </w:pPr>
      <w:r w:rsidRPr="00974282">
        <w:rPr>
          <w:rFonts w:ascii="Times New Roman" w:hAnsi="Times New Roman" w:cs="Times New Roman"/>
          <w:sz w:val="28"/>
          <w:szCs w:val="28"/>
        </w:rPr>
        <w:t>memory impairment,</w:t>
      </w:r>
    </w:p>
    <w:p w14:paraId="6DE3F035" w14:textId="77777777" w:rsidR="00974282" w:rsidRPr="00974282" w:rsidRDefault="00974282" w:rsidP="00974282">
      <w:pPr>
        <w:numPr>
          <w:ilvl w:val="0"/>
          <w:numId w:val="33"/>
        </w:numPr>
        <w:rPr>
          <w:rFonts w:ascii="Times New Roman" w:hAnsi="Times New Roman" w:cs="Times New Roman"/>
          <w:sz w:val="28"/>
          <w:szCs w:val="28"/>
        </w:rPr>
      </w:pPr>
      <w:r w:rsidRPr="00974282">
        <w:rPr>
          <w:rFonts w:ascii="Times New Roman" w:hAnsi="Times New Roman" w:cs="Times New Roman"/>
          <w:sz w:val="28"/>
          <w:szCs w:val="28"/>
        </w:rPr>
        <w:t>dissociation or emotional blunting,</w:t>
      </w:r>
    </w:p>
    <w:p w14:paraId="5C832640" w14:textId="77777777" w:rsidR="00974282" w:rsidRPr="00974282" w:rsidRDefault="00974282" w:rsidP="00974282">
      <w:pPr>
        <w:numPr>
          <w:ilvl w:val="0"/>
          <w:numId w:val="33"/>
        </w:numPr>
        <w:rPr>
          <w:rFonts w:ascii="Times New Roman" w:hAnsi="Times New Roman" w:cs="Times New Roman"/>
          <w:sz w:val="28"/>
          <w:szCs w:val="28"/>
        </w:rPr>
      </w:pPr>
      <w:r w:rsidRPr="00974282">
        <w:rPr>
          <w:rFonts w:ascii="Times New Roman" w:hAnsi="Times New Roman" w:cs="Times New Roman"/>
          <w:sz w:val="28"/>
          <w:szCs w:val="28"/>
        </w:rPr>
        <w:t>dependency risk with repeated exposure.</w:t>
      </w:r>
    </w:p>
    <w:p w14:paraId="2E5F4EFA"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Peptide-mediated buffering, as framed here, does not target perception, mood, or compliance. It targets biological thresholds that, when exceeded, degrade cognition indirectly. Preserving cognition by limiting injury is categorically different from altering cognition pharmacologically.</w:t>
      </w:r>
    </w:p>
    <w:p w14:paraId="19658B9D"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Dependency and Plasticity Risk</w:t>
      </w:r>
    </w:p>
    <w:p w14:paraId="67A9C1C0"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Chronic neurotransmitter manipulation carries risks of:</w:t>
      </w:r>
    </w:p>
    <w:p w14:paraId="767ADA08" w14:textId="77777777" w:rsidR="00974282" w:rsidRPr="00974282" w:rsidRDefault="00974282" w:rsidP="00974282">
      <w:pPr>
        <w:numPr>
          <w:ilvl w:val="0"/>
          <w:numId w:val="34"/>
        </w:numPr>
        <w:rPr>
          <w:rFonts w:ascii="Times New Roman" w:hAnsi="Times New Roman" w:cs="Times New Roman"/>
          <w:sz w:val="28"/>
          <w:szCs w:val="28"/>
        </w:rPr>
      </w:pPr>
      <w:r w:rsidRPr="00974282">
        <w:rPr>
          <w:rFonts w:ascii="Times New Roman" w:hAnsi="Times New Roman" w:cs="Times New Roman"/>
          <w:sz w:val="28"/>
          <w:szCs w:val="28"/>
        </w:rPr>
        <w:t>tolerance,</w:t>
      </w:r>
    </w:p>
    <w:p w14:paraId="620B6BB3" w14:textId="77777777" w:rsidR="00974282" w:rsidRPr="00974282" w:rsidRDefault="00974282" w:rsidP="00974282">
      <w:pPr>
        <w:numPr>
          <w:ilvl w:val="0"/>
          <w:numId w:val="34"/>
        </w:numPr>
        <w:rPr>
          <w:rFonts w:ascii="Times New Roman" w:hAnsi="Times New Roman" w:cs="Times New Roman"/>
          <w:sz w:val="28"/>
          <w:szCs w:val="28"/>
        </w:rPr>
      </w:pPr>
      <w:r w:rsidRPr="00974282">
        <w:rPr>
          <w:rFonts w:ascii="Times New Roman" w:hAnsi="Times New Roman" w:cs="Times New Roman"/>
          <w:sz w:val="28"/>
          <w:szCs w:val="28"/>
        </w:rPr>
        <w:t>withdrawal syndromes,</w:t>
      </w:r>
    </w:p>
    <w:p w14:paraId="6B2FA989" w14:textId="77777777" w:rsidR="00974282" w:rsidRPr="00974282" w:rsidRDefault="00974282" w:rsidP="00974282">
      <w:pPr>
        <w:numPr>
          <w:ilvl w:val="0"/>
          <w:numId w:val="34"/>
        </w:numPr>
        <w:rPr>
          <w:rFonts w:ascii="Times New Roman" w:hAnsi="Times New Roman" w:cs="Times New Roman"/>
          <w:sz w:val="28"/>
          <w:szCs w:val="28"/>
        </w:rPr>
      </w:pPr>
      <w:r w:rsidRPr="00974282">
        <w:rPr>
          <w:rFonts w:ascii="Times New Roman" w:hAnsi="Times New Roman" w:cs="Times New Roman"/>
          <w:sz w:val="28"/>
          <w:szCs w:val="28"/>
        </w:rPr>
        <w:t>receptor down- or up-regulation,</w:t>
      </w:r>
    </w:p>
    <w:p w14:paraId="1E87E21C" w14:textId="77777777" w:rsidR="00974282" w:rsidRPr="00974282" w:rsidRDefault="00974282" w:rsidP="00974282">
      <w:pPr>
        <w:numPr>
          <w:ilvl w:val="0"/>
          <w:numId w:val="34"/>
        </w:numPr>
        <w:rPr>
          <w:rFonts w:ascii="Times New Roman" w:hAnsi="Times New Roman" w:cs="Times New Roman"/>
          <w:sz w:val="28"/>
          <w:szCs w:val="28"/>
        </w:rPr>
      </w:pPr>
      <w:r w:rsidRPr="00974282">
        <w:rPr>
          <w:rFonts w:ascii="Times New Roman" w:hAnsi="Times New Roman" w:cs="Times New Roman"/>
          <w:sz w:val="28"/>
          <w:szCs w:val="28"/>
        </w:rPr>
        <w:t>long-term plasticity shifts.</w:t>
      </w:r>
    </w:p>
    <w:p w14:paraId="5DFA1108" w14:textId="77777777"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Acute, event-limited trophic signaling is context-dependent and self-terminating. When properly bounded, it does not require sustained receptor occupation and does not impose chronic adaptation pressure on neural circuits.</w:t>
      </w:r>
    </w:p>
    <w:p w14:paraId="5D6C36F9"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Doctrinal Implication</w:t>
      </w:r>
    </w:p>
    <w:p w14:paraId="76C398E2" w14:textId="50CD62D8" w:rsidR="00974282" w:rsidRPr="00974282" w:rsidRDefault="00974282" w:rsidP="00974282">
      <w:pPr>
        <w:spacing w:before="240"/>
        <w:rPr>
          <w:rFonts w:ascii="Times New Roman" w:hAnsi="Times New Roman" w:cs="Times New Roman"/>
          <w:sz w:val="28"/>
          <w:szCs w:val="28"/>
        </w:rPr>
      </w:pPr>
      <w:r w:rsidRPr="00974282">
        <w:rPr>
          <w:rFonts w:ascii="Times New Roman" w:hAnsi="Times New Roman" w:cs="Times New Roman"/>
          <w:sz w:val="28"/>
          <w:szCs w:val="28"/>
        </w:rPr>
        <w:t>Psychotropics are behavioral or perceptual tools applied after escalation has occurred.</w:t>
      </w:r>
      <w:r>
        <w:rPr>
          <w:rFonts w:ascii="Times New Roman" w:hAnsi="Times New Roman" w:cs="Times New Roman"/>
          <w:sz w:val="28"/>
          <w:szCs w:val="28"/>
        </w:rPr>
        <w:t xml:space="preserve"> </w:t>
      </w:r>
      <w:r w:rsidRPr="00974282">
        <w:rPr>
          <w:rFonts w:ascii="Times New Roman" w:hAnsi="Times New Roman" w:cs="Times New Roman"/>
          <w:sz w:val="28"/>
          <w:szCs w:val="28"/>
        </w:rPr>
        <w:t xml:space="preserve">CERBERUS-class peptide buffering is biological damage control applied </w:t>
      </w:r>
      <w:r w:rsidRPr="00974282">
        <w:rPr>
          <w:rFonts w:ascii="Times New Roman" w:hAnsi="Times New Roman" w:cs="Times New Roman"/>
          <w:sz w:val="28"/>
          <w:szCs w:val="28"/>
        </w:rPr>
        <w:lastRenderedPageBreak/>
        <w:t>at the onset of escalation.</w:t>
      </w:r>
      <w:r>
        <w:rPr>
          <w:rFonts w:ascii="Times New Roman" w:hAnsi="Times New Roman" w:cs="Times New Roman"/>
          <w:sz w:val="28"/>
          <w:szCs w:val="28"/>
        </w:rPr>
        <w:t xml:space="preserve"> </w:t>
      </w:r>
      <w:r w:rsidRPr="00974282">
        <w:rPr>
          <w:rFonts w:ascii="Times New Roman" w:hAnsi="Times New Roman" w:cs="Times New Roman"/>
          <w:sz w:val="28"/>
          <w:szCs w:val="28"/>
        </w:rPr>
        <w:t>They are not substitutes. They occupy different doctrinal layers.</w:t>
      </w:r>
    </w:p>
    <w:p w14:paraId="48CCFCD4" w14:textId="77777777" w:rsidR="00974282" w:rsidRPr="00974282" w:rsidRDefault="00974282" w:rsidP="00974282">
      <w:pPr>
        <w:spacing w:before="240"/>
        <w:rPr>
          <w:rFonts w:ascii="Times New Roman" w:hAnsi="Times New Roman" w:cs="Times New Roman"/>
          <w:b/>
          <w:bCs/>
          <w:sz w:val="34"/>
          <w:szCs w:val="34"/>
        </w:rPr>
      </w:pPr>
      <w:r w:rsidRPr="00974282">
        <w:rPr>
          <w:rFonts w:ascii="Times New Roman" w:hAnsi="Times New Roman" w:cs="Times New Roman"/>
          <w:b/>
          <w:bCs/>
          <w:sz w:val="34"/>
          <w:szCs w:val="34"/>
        </w:rPr>
        <w:t>Summary</w:t>
      </w:r>
    </w:p>
    <w:p w14:paraId="7B0C2C0D" w14:textId="77777777" w:rsidR="00974282" w:rsidRPr="00974282" w:rsidRDefault="00974282" w:rsidP="00974282">
      <w:pPr>
        <w:numPr>
          <w:ilvl w:val="0"/>
          <w:numId w:val="35"/>
        </w:numPr>
        <w:rPr>
          <w:rFonts w:ascii="Times New Roman" w:hAnsi="Times New Roman" w:cs="Times New Roman"/>
          <w:sz w:val="28"/>
          <w:szCs w:val="28"/>
        </w:rPr>
      </w:pPr>
      <w:r w:rsidRPr="00974282">
        <w:rPr>
          <w:rFonts w:ascii="Times New Roman" w:hAnsi="Times New Roman" w:cs="Times New Roman"/>
          <w:sz w:val="28"/>
          <w:szCs w:val="28"/>
        </w:rPr>
        <w:t>Psychotropics: downstream, synaptic, chronic, perceptual</w:t>
      </w:r>
    </w:p>
    <w:p w14:paraId="1D02E32A" w14:textId="77777777" w:rsidR="00974282" w:rsidRPr="00974282" w:rsidRDefault="00974282" w:rsidP="00974282">
      <w:pPr>
        <w:numPr>
          <w:ilvl w:val="0"/>
          <w:numId w:val="35"/>
        </w:numPr>
        <w:rPr>
          <w:rFonts w:ascii="Times New Roman" w:hAnsi="Times New Roman" w:cs="Times New Roman"/>
          <w:sz w:val="28"/>
          <w:szCs w:val="28"/>
        </w:rPr>
      </w:pPr>
      <w:r w:rsidRPr="00974282">
        <w:rPr>
          <w:rFonts w:ascii="Times New Roman" w:hAnsi="Times New Roman" w:cs="Times New Roman"/>
          <w:sz w:val="28"/>
          <w:szCs w:val="28"/>
        </w:rPr>
        <w:t>Peptide buffering: upstream, cellular, acute, structural</w:t>
      </w:r>
    </w:p>
    <w:p w14:paraId="12D1803A" w14:textId="77777777" w:rsidR="00974282" w:rsidRPr="00974282" w:rsidRDefault="00974282" w:rsidP="00974282">
      <w:pPr>
        <w:numPr>
          <w:ilvl w:val="0"/>
          <w:numId w:val="35"/>
        </w:numPr>
        <w:rPr>
          <w:rFonts w:ascii="Times New Roman" w:hAnsi="Times New Roman" w:cs="Times New Roman"/>
          <w:sz w:val="28"/>
          <w:szCs w:val="28"/>
        </w:rPr>
      </w:pPr>
      <w:r w:rsidRPr="00974282">
        <w:rPr>
          <w:rFonts w:ascii="Times New Roman" w:hAnsi="Times New Roman" w:cs="Times New Roman"/>
          <w:sz w:val="28"/>
          <w:szCs w:val="28"/>
        </w:rPr>
        <w:t>Psychotropics manage symptoms</w:t>
      </w:r>
    </w:p>
    <w:p w14:paraId="0A30ECDE" w14:textId="77777777" w:rsidR="00974282" w:rsidRPr="00974282" w:rsidRDefault="00974282" w:rsidP="00974282">
      <w:pPr>
        <w:numPr>
          <w:ilvl w:val="0"/>
          <w:numId w:val="35"/>
        </w:numPr>
        <w:rPr>
          <w:rFonts w:ascii="Times New Roman" w:hAnsi="Times New Roman" w:cs="Times New Roman"/>
          <w:sz w:val="28"/>
          <w:szCs w:val="28"/>
        </w:rPr>
      </w:pPr>
      <w:r w:rsidRPr="00974282">
        <w:rPr>
          <w:rFonts w:ascii="Times New Roman" w:hAnsi="Times New Roman" w:cs="Times New Roman"/>
          <w:sz w:val="28"/>
          <w:szCs w:val="28"/>
        </w:rPr>
        <w:t>Peptides contain injury</w:t>
      </w:r>
    </w:p>
    <w:p w14:paraId="7ADFAC16" w14:textId="74808AE9" w:rsidR="00040995" w:rsidRDefault="00974282" w:rsidP="00040995">
      <w:pPr>
        <w:spacing w:before="240" w:after="0"/>
        <w:rPr>
          <w:rFonts w:ascii="Times New Roman" w:hAnsi="Times New Roman" w:cs="Times New Roman"/>
          <w:sz w:val="28"/>
          <w:szCs w:val="28"/>
        </w:rPr>
      </w:pPr>
      <w:r w:rsidRPr="00974282">
        <w:rPr>
          <w:rFonts w:ascii="Times New Roman" w:hAnsi="Times New Roman" w:cs="Times New Roman"/>
          <w:sz w:val="28"/>
          <w:szCs w:val="28"/>
        </w:rPr>
        <w:t>For acute biological containment under WAR conditions, mechanistic alignment favors trophic and growth-factor–linked pathways over neurotransmitter manipulation.</w:t>
      </w:r>
    </w:p>
    <w:p w14:paraId="6DD1EA8F" w14:textId="77777777" w:rsidR="00040995" w:rsidRPr="0012408D" w:rsidRDefault="00040995" w:rsidP="00040995">
      <w:pPr>
        <w:pBdr>
          <w:bottom w:val="single" w:sz="4" w:space="1" w:color="auto"/>
        </w:pBdr>
        <w:spacing w:before="240" w:after="0"/>
        <w:rPr>
          <w:rFonts w:ascii="Times New Roman" w:hAnsi="Times New Roman" w:cs="Times New Roman"/>
          <w:sz w:val="28"/>
          <w:szCs w:val="28"/>
        </w:rPr>
      </w:pPr>
    </w:p>
    <w:p w14:paraId="27F315E8" w14:textId="5C73B1A4" w:rsidR="0012408D" w:rsidRPr="0012408D" w:rsidRDefault="0012408D" w:rsidP="0012408D">
      <w:pPr>
        <w:spacing w:before="240"/>
        <w:rPr>
          <w:rFonts w:ascii="Times New Roman" w:hAnsi="Times New Roman" w:cs="Times New Roman"/>
          <w:b/>
          <w:bCs/>
          <w:sz w:val="40"/>
          <w:szCs w:val="40"/>
        </w:rPr>
      </w:pPr>
      <w:r w:rsidRPr="0012408D">
        <w:rPr>
          <w:rFonts w:ascii="Times New Roman" w:hAnsi="Times New Roman" w:cs="Times New Roman"/>
          <w:b/>
          <w:bCs/>
          <w:sz w:val="40"/>
          <w:szCs w:val="40"/>
        </w:rPr>
        <w:t>1</w:t>
      </w:r>
      <w:r w:rsidR="00040995">
        <w:rPr>
          <w:rFonts w:ascii="Times New Roman" w:hAnsi="Times New Roman" w:cs="Times New Roman"/>
          <w:b/>
          <w:bCs/>
          <w:sz w:val="40"/>
          <w:szCs w:val="40"/>
        </w:rPr>
        <w:t>0</w:t>
      </w:r>
      <w:r w:rsidRPr="0012408D">
        <w:rPr>
          <w:rFonts w:ascii="Times New Roman" w:hAnsi="Times New Roman" w:cs="Times New Roman"/>
          <w:b/>
          <w:bCs/>
          <w:sz w:val="40"/>
          <w:szCs w:val="40"/>
        </w:rPr>
        <w:t>. Autonomous Resupply and Physical Data Custody</w:t>
      </w:r>
    </w:p>
    <w:p w14:paraId="339C1F94"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CERBERUS is designed as a locally authoritative, time</w:t>
      </w:r>
      <w:r w:rsidRPr="0012408D">
        <w:rPr>
          <w:rFonts w:ascii="Times New Roman" w:hAnsi="Times New Roman" w:cs="Times New Roman"/>
          <w:sz w:val="28"/>
          <w:szCs w:val="28"/>
        </w:rPr>
        <w:noBreakHyphen/>
        <w:t>bounded safety system whose runtime behavior is intentionally isolated from external control. Sustained operation in remote, hazardous, or infrastructure</w:t>
      </w:r>
      <w:r w:rsidRPr="0012408D">
        <w:rPr>
          <w:rFonts w:ascii="Times New Roman" w:hAnsi="Times New Roman" w:cs="Times New Roman"/>
          <w:sz w:val="28"/>
          <w:szCs w:val="28"/>
        </w:rPr>
        <w:noBreakHyphen/>
        <w:t>degraded environments, however, requires mechanisms for resupply, power replenishment, and post</w:t>
      </w:r>
      <w:r w:rsidRPr="0012408D">
        <w:rPr>
          <w:rFonts w:ascii="Times New Roman" w:hAnsi="Times New Roman" w:cs="Times New Roman"/>
          <w:sz w:val="28"/>
          <w:szCs w:val="28"/>
        </w:rPr>
        <w:noBreakHyphen/>
        <w:t>event review that do not compromise these architectural constraints. Autonomous ground robots (“robot dogs”) and small unmanned aerial systems (sUAS) may serve this role solely as logistical infrastructure, not as decision</w:t>
      </w:r>
      <w:r w:rsidRPr="0012408D">
        <w:rPr>
          <w:rFonts w:ascii="Times New Roman" w:hAnsi="Times New Roman" w:cs="Times New Roman"/>
          <w:sz w:val="28"/>
          <w:szCs w:val="28"/>
        </w:rPr>
        <w:noBreakHyphen/>
        <w:t>making or actuation components.​</w:t>
      </w:r>
    </w:p>
    <w:p w14:paraId="07743062"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Within the CERBERUS framework, autonomous resupply platforms are limited to three conceptual functions: transport of sealed consumables, power logistics, and physical data custody. These functions are explicitly decoupled from actuation logic, consent enforcement, and runtime state transitions.</w:t>
      </w:r>
    </w:p>
    <w:p w14:paraId="0F70DB3F" w14:textId="18630A25"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t>1</w:t>
      </w:r>
      <w:r w:rsidR="00040995" w:rsidRPr="00040995">
        <w:rPr>
          <w:rFonts w:ascii="Times New Roman" w:hAnsi="Times New Roman" w:cs="Times New Roman"/>
          <w:b/>
          <w:bCs/>
          <w:sz w:val="34"/>
          <w:szCs w:val="34"/>
        </w:rPr>
        <w:t>0</w:t>
      </w:r>
      <w:r w:rsidRPr="0012408D">
        <w:rPr>
          <w:rFonts w:ascii="Times New Roman" w:hAnsi="Times New Roman" w:cs="Times New Roman"/>
          <w:b/>
          <w:bCs/>
          <w:sz w:val="34"/>
          <w:szCs w:val="34"/>
        </w:rPr>
        <w:t>.1 Autonomous Transport of Sealed Consumables</w:t>
      </w:r>
    </w:p>
    <w:p w14:paraId="7797C9D6"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Autonomous platforms may be used to transport sealed, inert CERBERUS consumables—such as single</w:t>
      </w:r>
      <w:r w:rsidRPr="0012408D">
        <w:rPr>
          <w:rFonts w:ascii="Times New Roman" w:hAnsi="Times New Roman" w:cs="Times New Roman"/>
          <w:sz w:val="28"/>
          <w:szCs w:val="28"/>
        </w:rPr>
        <w:noBreakHyphen/>
        <w:t xml:space="preserve">use microneedle cartridges, peptide cassettes, or </w:t>
      </w:r>
      <w:r w:rsidRPr="0012408D">
        <w:rPr>
          <w:rFonts w:ascii="Times New Roman" w:hAnsi="Times New Roman" w:cs="Times New Roman"/>
          <w:sz w:val="28"/>
          <w:szCs w:val="28"/>
        </w:rPr>
        <w:lastRenderedPageBreak/>
        <w:t>battery packs—to staging locations near authenticated wearers or medics. In practice this might be a quadrupedal ground robot following a squad at offset, or an sUAS dropping a locked payload pod into a pre</w:t>
      </w:r>
      <w:r w:rsidRPr="0012408D">
        <w:rPr>
          <w:rFonts w:ascii="Times New Roman" w:hAnsi="Times New Roman" w:cs="Times New Roman"/>
          <w:sz w:val="28"/>
          <w:szCs w:val="28"/>
        </w:rPr>
        <w:noBreakHyphen/>
        <w:t>cleared cache, but in transit the payloads remain non</w:t>
      </w:r>
      <w:r w:rsidRPr="0012408D">
        <w:rPr>
          <w:rFonts w:ascii="Times New Roman" w:hAnsi="Times New Roman" w:cs="Times New Roman"/>
          <w:sz w:val="28"/>
          <w:szCs w:val="28"/>
        </w:rPr>
        <w:noBreakHyphen/>
        <w:t>interactive and non</w:t>
      </w:r>
      <w:r w:rsidRPr="0012408D">
        <w:rPr>
          <w:rFonts w:ascii="Times New Roman" w:hAnsi="Times New Roman" w:cs="Times New Roman"/>
          <w:sz w:val="28"/>
          <w:szCs w:val="28"/>
        </w:rPr>
        <w:noBreakHyphen/>
        <w:t>addressable.​</w:t>
      </w:r>
    </w:p>
    <w:p w14:paraId="152721AA" w14:textId="77777777"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t>Key constraints include:</w:t>
      </w:r>
    </w:p>
    <w:p w14:paraId="1943213F" w14:textId="77777777" w:rsidR="0012408D" w:rsidRPr="0012408D" w:rsidRDefault="0012408D" w:rsidP="00040995">
      <w:pPr>
        <w:numPr>
          <w:ilvl w:val="0"/>
          <w:numId w:val="36"/>
        </w:numPr>
        <w:spacing w:before="240" w:after="0"/>
        <w:rPr>
          <w:rFonts w:ascii="Times New Roman" w:hAnsi="Times New Roman" w:cs="Times New Roman"/>
          <w:sz w:val="28"/>
          <w:szCs w:val="28"/>
        </w:rPr>
      </w:pPr>
      <w:r w:rsidRPr="0012408D">
        <w:rPr>
          <w:rFonts w:ascii="Times New Roman" w:hAnsi="Times New Roman" w:cs="Times New Roman"/>
          <w:sz w:val="28"/>
          <w:szCs w:val="28"/>
        </w:rPr>
        <w:t>No direct interface between autonomous platforms and CERBERUS authorization or actuation logic.</w:t>
      </w:r>
    </w:p>
    <w:p w14:paraId="3F5F20FD" w14:textId="77777777" w:rsidR="0012408D" w:rsidRPr="0012408D" w:rsidRDefault="0012408D" w:rsidP="0012408D">
      <w:pPr>
        <w:numPr>
          <w:ilvl w:val="0"/>
          <w:numId w:val="36"/>
        </w:numPr>
        <w:spacing w:before="240"/>
        <w:rPr>
          <w:rFonts w:ascii="Times New Roman" w:hAnsi="Times New Roman" w:cs="Times New Roman"/>
          <w:sz w:val="28"/>
          <w:szCs w:val="28"/>
        </w:rPr>
      </w:pPr>
      <w:r w:rsidRPr="0012408D">
        <w:rPr>
          <w:rFonts w:ascii="Times New Roman" w:hAnsi="Times New Roman" w:cs="Times New Roman"/>
          <w:sz w:val="28"/>
          <w:szCs w:val="28"/>
        </w:rPr>
        <w:t>No autonomous release, deployment, or activation of payloads.</w:t>
      </w:r>
    </w:p>
    <w:p w14:paraId="3F815F1B" w14:textId="77777777" w:rsidR="0012408D" w:rsidRPr="0012408D" w:rsidRDefault="0012408D" w:rsidP="0012408D">
      <w:pPr>
        <w:numPr>
          <w:ilvl w:val="0"/>
          <w:numId w:val="36"/>
        </w:numPr>
        <w:spacing w:before="240"/>
        <w:rPr>
          <w:rFonts w:ascii="Times New Roman" w:hAnsi="Times New Roman" w:cs="Times New Roman"/>
          <w:sz w:val="28"/>
          <w:szCs w:val="28"/>
        </w:rPr>
      </w:pPr>
      <w:r w:rsidRPr="0012408D">
        <w:rPr>
          <w:rFonts w:ascii="Times New Roman" w:hAnsi="Times New Roman" w:cs="Times New Roman"/>
          <w:sz w:val="28"/>
          <w:szCs w:val="28"/>
        </w:rPr>
        <w:t>Human</w:t>
      </w:r>
      <w:r w:rsidRPr="0012408D">
        <w:rPr>
          <w:rFonts w:ascii="Times New Roman" w:hAnsi="Times New Roman" w:cs="Times New Roman"/>
          <w:sz w:val="28"/>
          <w:szCs w:val="28"/>
        </w:rPr>
        <w:noBreakHyphen/>
        <w:t>mediated handling at both origin and destination (e.g., a medic unlocks the pod, scans cartridge IDs, and physically loads them into devices).</w:t>
      </w:r>
    </w:p>
    <w:p w14:paraId="612A5670"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Mobility extends availability without extending authority: robots and drones move supplies; only authenticated humans and the local CERBERUS device decide if and when those supplies are used.</w:t>
      </w:r>
    </w:p>
    <w:p w14:paraId="3042F967" w14:textId="628ACDA0"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t>1</w:t>
      </w:r>
      <w:r w:rsidR="00040995" w:rsidRPr="00040995">
        <w:rPr>
          <w:rFonts w:ascii="Times New Roman" w:hAnsi="Times New Roman" w:cs="Times New Roman"/>
          <w:b/>
          <w:bCs/>
          <w:sz w:val="34"/>
          <w:szCs w:val="34"/>
        </w:rPr>
        <w:t>0</w:t>
      </w:r>
      <w:r w:rsidRPr="0012408D">
        <w:rPr>
          <w:rFonts w:ascii="Times New Roman" w:hAnsi="Times New Roman" w:cs="Times New Roman"/>
          <w:b/>
          <w:bCs/>
          <w:sz w:val="34"/>
          <w:szCs w:val="34"/>
        </w:rPr>
        <w:t>.2 Power and Endurance Logistics</w:t>
      </w:r>
    </w:p>
    <w:p w14:paraId="1466C1C8"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Because CERBERUS prioritizes edge</w:t>
      </w:r>
      <w:r w:rsidRPr="0012408D">
        <w:rPr>
          <w:rFonts w:ascii="Times New Roman" w:hAnsi="Times New Roman" w:cs="Times New Roman"/>
          <w:sz w:val="28"/>
          <w:szCs w:val="28"/>
        </w:rPr>
        <w:noBreakHyphen/>
        <w:t>local computation and fail</w:t>
      </w:r>
      <w:r w:rsidRPr="0012408D">
        <w:rPr>
          <w:rFonts w:ascii="Times New Roman" w:hAnsi="Times New Roman" w:cs="Times New Roman"/>
          <w:sz w:val="28"/>
          <w:szCs w:val="28"/>
        </w:rPr>
        <w:noBreakHyphen/>
        <w:t>silent behavior, power availability becomes a critical operational dependency. Autonomous resupply platforms can function as battery logistics carriers, enabling device endurance without requiring network connectivity or centralized control, analogous to current experiments using drones for delivery of medical equipment and blood products.​</w:t>
      </w:r>
    </w:p>
    <w:p w14:paraId="4524D592" w14:textId="77777777" w:rsidR="0012408D" w:rsidRPr="0012408D" w:rsidRDefault="0012408D" w:rsidP="00040995">
      <w:pPr>
        <w:spacing w:before="240" w:after="0"/>
        <w:rPr>
          <w:rFonts w:ascii="Times New Roman" w:hAnsi="Times New Roman" w:cs="Times New Roman"/>
          <w:sz w:val="28"/>
          <w:szCs w:val="28"/>
        </w:rPr>
      </w:pPr>
      <w:r w:rsidRPr="0012408D">
        <w:rPr>
          <w:rFonts w:ascii="Times New Roman" w:hAnsi="Times New Roman" w:cs="Times New Roman"/>
          <w:sz w:val="28"/>
          <w:szCs w:val="28"/>
        </w:rPr>
        <w:t>Power resupply remains:</w:t>
      </w:r>
    </w:p>
    <w:p w14:paraId="3122198E" w14:textId="77777777" w:rsidR="0012408D" w:rsidRPr="0012408D" w:rsidRDefault="0012408D" w:rsidP="00040995">
      <w:pPr>
        <w:numPr>
          <w:ilvl w:val="0"/>
          <w:numId w:val="37"/>
        </w:numPr>
        <w:spacing w:before="240" w:after="0"/>
        <w:rPr>
          <w:rFonts w:ascii="Times New Roman" w:hAnsi="Times New Roman" w:cs="Times New Roman"/>
          <w:sz w:val="28"/>
          <w:szCs w:val="28"/>
        </w:rPr>
      </w:pPr>
      <w:r w:rsidRPr="0012408D">
        <w:rPr>
          <w:rFonts w:ascii="Times New Roman" w:hAnsi="Times New Roman" w:cs="Times New Roman"/>
          <w:sz w:val="28"/>
          <w:szCs w:val="28"/>
        </w:rPr>
        <w:t>Physically isolated from sensing and actuation pathways (hot</w:t>
      </w:r>
      <w:r w:rsidRPr="0012408D">
        <w:rPr>
          <w:rFonts w:ascii="Times New Roman" w:hAnsi="Times New Roman" w:cs="Times New Roman"/>
          <w:sz w:val="28"/>
          <w:szCs w:val="28"/>
        </w:rPr>
        <w:noBreakHyphen/>
        <w:t>swappable, standardized packs).</w:t>
      </w:r>
    </w:p>
    <w:p w14:paraId="043B3C6C" w14:textId="77777777" w:rsidR="0012408D" w:rsidRPr="0012408D" w:rsidRDefault="0012408D" w:rsidP="0012408D">
      <w:pPr>
        <w:numPr>
          <w:ilvl w:val="0"/>
          <w:numId w:val="37"/>
        </w:numPr>
        <w:spacing w:before="240"/>
        <w:rPr>
          <w:rFonts w:ascii="Times New Roman" w:hAnsi="Times New Roman" w:cs="Times New Roman"/>
          <w:sz w:val="28"/>
          <w:szCs w:val="28"/>
        </w:rPr>
      </w:pPr>
      <w:r w:rsidRPr="0012408D">
        <w:rPr>
          <w:rFonts w:ascii="Times New Roman" w:hAnsi="Times New Roman" w:cs="Times New Roman"/>
          <w:sz w:val="28"/>
          <w:szCs w:val="28"/>
        </w:rPr>
        <w:t>Logically equivalent to replacing a battery in any safety</w:t>
      </w:r>
      <w:r w:rsidRPr="0012408D">
        <w:rPr>
          <w:rFonts w:ascii="Times New Roman" w:hAnsi="Times New Roman" w:cs="Times New Roman"/>
          <w:sz w:val="28"/>
          <w:szCs w:val="28"/>
        </w:rPr>
        <w:noBreakHyphen/>
        <w:t>critical device.</w:t>
      </w:r>
    </w:p>
    <w:p w14:paraId="6F89BAEC" w14:textId="77777777" w:rsidR="0012408D" w:rsidRPr="0012408D" w:rsidRDefault="0012408D" w:rsidP="0012408D">
      <w:pPr>
        <w:numPr>
          <w:ilvl w:val="0"/>
          <w:numId w:val="37"/>
        </w:numPr>
        <w:spacing w:before="240"/>
        <w:rPr>
          <w:rFonts w:ascii="Times New Roman" w:hAnsi="Times New Roman" w:cs="Times New Roman"/>
          <w:sz w:val="28"/>
          <w:szCs w:val="28"/>
        </w:rPr>
      </w:pPr>
      <w:r w:rsidRPr="0012408D">
        <w:rPr>
          <w:rFonts w:ascii="Times New Roman" w:hAnsi="Times New Roman" w:cs="Times New Roman"/>
          <w:sz w:val="28"/>
          <w:szCs w:val="28"/>
        </w:rPr>
        <w:t>Outside the runtime decision loop: the device may signal “low power” but cannot be commanded by the resupply asset.</w:t>
      </w:r>
    </w:p>
    <w:p w14:paraId="11D4D8B6" w14:textId="3B74A32D"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lastRenderedPageBreak/>
        <w:t>1</w:t>
      </w:r>
      <w:r w:rsidR="00040995" w:rsidRPr="00040995">
        <w:rPr>
          <w:rFonts w:ascii="Times New Roman" w:hAnsi="Times New Roman" w:cs="Times New Roman"/>
          <w:b/>
          <w:bCs/>
          <w:sz w:val="34"/>
          <w:szCs w:val="34"/>
        </w:rPr>
        <w:t>0</w:t>
      </w:r>
      <w:r w:rsidRPr="0012408D">
        <w:rPr>
          <w:rFonts w:ascii="Times New Roman" w:hAnsi="Times New Roman" w:cs="Times New Roman"/>
          <w:b/>
          <w:bCs/>
          <w:sz w:val="34"/>
          <w:szCs w:val="34"/>
        </w:rPr>
        <w:t>.3 Physical Data Custody and Post</w:t>
      </w:r>
      <w:r w:rsidRPr="0012408D">
        <w:rPr>
          <w:rFonts w:ascii="Times New Roman" w:hAnsi="Times New Roman" w:cs="Times New Roman"/>
          <w:b/>
          <w:bCs/>
          <w:sz w:val="34"/>
          <w:szCs w:val="34"/>
        </w:rPr>
        <w:noBreakHyphen/>
        <w:t>Event Review</w:t>
      </w:r>
    </w:p>
    <w:p w14:paraId="2D8A8407"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CERBERUS deliberately minimizes real</w:t>
      </w:r>
      <w:r w:rsidRPr="0012408D">
        <w:rPr>
          <w:rFonts w:ascii="Times New Roman" w:hAnsi="Times New Roman" w:cs="Times New Roman"/>
          <w:sz w:val="28"/>
          <w:szCs w:val="28"/>
        </w:rPr>
        <w:noBreakHyphen/>
        <w:t>time data transmission. In environments where network connectivity is unreliable or intentionally avoided, autonomous platforms may also serve as physical data couriers, transporting sealed, event</w:t>
      </w:r>
      <w:r w:rsidRPr="0012408D">
        <w:rPr>
          <w:rFonts w:ascii="Times New Roman" w:hAnsi="Times New Roman" w:cs="Times New Roman"/>
          <w:sz w:val="28"/>
          <w:szCs w:val="28"/>
        </w:rPr>
        <w:noBreakHyphen/>
        <w:t>level audit media from CERBERUS devices or gateways to review centers. This is analogous to emerging “data mule” roles for unmanned systems in battlefield medicine and search</w:t>
      </w:r>
      <w:r w:rsidRPr="0012408D">
        <w:rPr>
          <w:rFonts w:ascii="Times New Roman" w:hAnsi="Times New Roman" w:cs="Times New Roman"/>
          <w:sz w:val="28"/>
          <w:szCs w:val="28"/>
        </w:rPr>
        <w:noBreakHyphen/>
        <w:t>and</w:t>
      </w:r>
      <w:r w:rsidRPr="0012408D">
        <w:rPr>
          <w:rFonts w:ascii="Times New Roman" w:hAnsi="Times New Roman" w:cs="Times New Roman"/>
          <w:sz w:val="28"/>
          <w:szCs w:val="28"/>
        </w:rPr>
        <w:noBreakHyphen/>
        <w:t>rescue.​</w:t>
      </w:r>
    </w:p>
    <w:p w14:paraId="35F7C614"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This model emphasizes custody over streaming:</w:t>
      </w:r>
    </w:p>
    <w:p w14:paraId="7D76B651" w14:textId="77777777" w:rsidR="0012408D" w:rsidRPr="0012408D" w:rsidRDefault="0012408D" w:rsidP="0012408D">
      <w:pPr>
        <w:numPr>
          <w:ilvl w:val="0"/>
          <w:numId w:val="38"/>
        </w:numPr>
        <w:spacing w:before="240"/>
        <w:rPr>
          <w:rFonts w:ascii="Times New Roman" w:hAnsi="Times New Roman" w:cs="Times New Roman"/>
          <w:sz w:val="28"/>
          <w:szCs w:val="28"/>
        </w:rPr>
      </w:pPr>
      <w:r w:rsidRPr="0012408D">
        <w:rPr>
          <w:rFonts w:ascii="Times New Roman" w:hAnsi="Times New Roman" w:cs="Times New Roman"/>
          <w:sz w:val="28"/>
          <w:szCs w:val="28"/>
        </w:rPr>
        <w:t>Data is collected post</w:t>
      </w:r>
      <w:r w:rsidRPr="0012408D">
        <w:rPr>
          <w:rFonts w:ascii="Times New Roman" w:hAnsi="Times New Roman" w:cs="Times New Roman"/>
          <w:sz w:val="28"/>
          <w:szCs w:val="28"/>
        </w:rPr>
        <w:noBreakHyphen/>
        <w:t>event, not during runtime, via short</w:t>
      </w:r>
      <w:r w:rsidRPr="0012408D">
        <w:rPr>
          <w:rFonts w:ascii="Times New Roman" w:hAnsi="Times New Roman" w:cs="Times New Roman"/>
          <w:sz w:val="28"/>
          <w:szCs w:val="28"/>
        </w:rPr>
        <w:noBreakHyphen/>
        <w:t>range, proximity</w:t>
      </w:r>
      <w:r w:rsidRPr="0012408D">
        <w:rPr>
          <w:rFonts w:ascii="Times New Roman" w:hAnsi="Times New Roman" w:cs="Times New Roman"/>
          <w:sz w:val="28"/>
          <w:szCs w:val="28"/>
        </w:rPr>
        <w:noBreakHyphen/>
        <w:t>bound transfer when a device is intentionally docked to a courier.</w:t>
      </w:r>
    </w:p>
    <w:p w14:paraId="4E3D4573" w14:textId="77777777" w:rsidR="0012408D" w:rsidRPr="0012408D" w:rsidRDefault="0012408D" w:rsidP="0012408D">
      <w:pPr>
        <w:numPr>
          <w:ilvl w:val="0"/>
          <w:numId w:val="38"/>
        </w:numPr>
        <w:spacing w:before="240"/>
        <w:rPr>
          <w:rFonts w:ascii="Times New Roman" w:hAnsi="Times New Roman" w:cs="Times New Roman"/>
          <w:sz w:val="28"/>
          <w:szCs w:val="28"/>
        </w:rPr>
      </w:pPr>
      <w:r w:rsidRPr="0012408D">
        <w:rPr>
          <w:rFonts w:ascii="Times New Roman" w:hAnsi="Times New Roman" w:cs="Times New Roman"/>
          <w:sz w:val="28"/>
          <w:szCs w:val="28"/>
        </w:rPr>
        <w:t>Transported data is limited to event metadata, state</w:t>
      </w:r>
      <w:r w:rsidRPr="0012408D">
        <w:rPr>
          <w:rFonts w:ascii="Times New Roman" w:hAnsi="Times New Roman" w:cs="Times New Roman"/>
          <w:sz w:val="28"/>
          <w:szCs w:val="28"/>
        </w:rPr>
        <w:noBreakHyphen/>
        <w:t xml:space="preserve">transition records, model versions, and cartridge/battery identifiers, not full </w:t>
      </w:r>
      <w:proofErr w:type="spellStart"/>
      <w:r w:rsidRPr="0012408D">
        <w:rPr>
          <w:rFonts w:ascii="Times New Roman" w:hAnsi="Times New Roman" w:cs="Times New Roman"/>
          <w:sz w:val="28"/>
          <w:szCs w:val="28"/>
        </w:rPr>
        <w:t>biosignal</w:t>
      </w:r>
      <w:proofErr w:type="spellEnd"/>
      <w:r w:rsidRPr="0012408D">
        <w:rPr>
          <w:rFonts w:ascii="Times New Roman" w:hAnsi="Times New Roman" w:cs="Times New Roman"/>
          <w:sz w:val="28"/>
          <w:szCs w:val="28"/>
        </w:rPr>
        <w:t xml:space="preserve"> streams.</w:t>
      </w:r>
    </w:p>
    <w:p w14:paraId="1F9E28B7" w14:textId="77777777" w:rsidR="0012408D" w:rsidRPr="0012408D" w:rsidRDefault="0012408D" w:rsidP="0012408D">
      <w:pPr>
        <w:numPr>
          <w:ilvl w:val="0"/>
          <w:numId w:val="38"/>
        </w:numPr>
        <w:spacing w:before="240"/>
        <w:rPr>
          <w:rFonts w:ascii="Times New Roman" w:hAnsi="Times New Roman" w:cs="Times New Roman"/>
          <w:sz w:val="28"/>
          <w:szCs w:val="28"/>
        </w:rPr>
      </w:pPr>
      <w:r w:rsidRPr="0012408D">
        <w:rPr>
          <w:rFonts w:ascii="Times New Roman" w:hAnsi="Times New Roman" w:cs="Times New Roman"/>
          <w:sz w:val="28"/>
          <w:szCs w:val="28"/>
        </w:rPr>
        <w:t>No live telemetry, command input, or feedback channel is enabled through the transport platform.</w:t>
      </w:r>
    </w:p>
    <w:p w14:paraId="118CC974"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By using physical transfer rather than continuous uplink, CERBERUS preserves locality, reduces RF attack surface, and prevents external systems from influencing real</w:t>
      </w:r>
      <w:r w:rsidRPr="0012408D">
        <w:rPr>
          <w:rFonts w:ascii="Times New Roman" w:hAnsi="Times New Roman" w:cs="Times New Roman"/>
          <w:sz w:val="28"/>
          <w:szCs w:val="28"/>
        </w:rPr>
        <w:noBreakHyphen/>
        <w:t>time behavior.</w:t>
      </w:r>
    </w:p>
    <w:p w14:paraId="611919DE" w14:textId="725B99E7"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t>1</w:t>
      </w:r>
      <w:r w:rsidR="00040995" w:rsidRPr="00040995">
        <w:rPr>
          <w:rFonts w:ascii="Times New Roman" w:hAnsi="Times New Roman" w:cs="Times New Roman"/>
          <w:b/>
          <w:bCs/>
          <w:sz w:val="34"/>
          <w:szCs w:val="34"/>
        </w:rPr>
        <w:t>0</w:t>
      </w:r>
      <w:r w:rsidRPr="0012408D">
        <w:rPr>
          <w:rFonts w:ascii="Times New Roman" w:hAnsi="Times New Roman" w:cs="Times New Roman"/>
          <w:b/>
          <w:bCs/>
          <w:sz w:val="34"/>
          <w:szCs w:val="34"/>
        </w:rPr>
        <w:t>.4 Architectural Separation and Non</w:t>
      </w:r>
      <w:r w:rsidRPr="0012408D">
        <w:rPr>
          <w:rFonts w:ascii="Times New Roman" w:hAnsi="Times New Roman" w:cs="Times New Roman"/>
          <w:b/>
          <w:bCs/>
          <w:sz w:val="34"/>
          <w:szCs w:val="34"/>
        </w:rPr>
        <w:noBreakHyphen/>
        <w:t>Authority</w:t>
      </w:r>
    </w:p>
    <w:p w14:paraId="1B02325E"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Crucially, autonomous resupply platforms are architecturally downstream of CERBERUS runtime logic. They do not participate in:</w:t>
      </w:r>
    </w:p>
    <w:p w14:paraId="3E52F606" w14:textId="77777777" w:rsidR="0012408D" w:rsidRPr="0012408D" w:rsidRDefault="0012408D" w:rsidP="0012408D">
      <w:pPr>
        <w:numPr>
          <w:ilvl w:val="0"/>
          <w:numId w:val="39"/>
        </w:numPr>
        <w:spacing w:before="240"/>
        <w:rPr>
          <w:rFonts w:ascii="Times New Roman" w:hAnsi="Times New Roman" w:cs="Times New Roman"/>
          <w:sz w:val="28"/>
          <w:szCs w:val="28"/>
        </w:rPr>
      </w:pPr>
      <w:r w:rsidRPr="0012408D">
        <w:rPr>
          <w:rFonts w:ascii="Times New Roman" w:hAnsi="Times New Roman" w:cs="Times New Roman"/>
          <w:sz w:val="28"/>
          <w:szCs w:val="28"/>
        </w:rPr>
        <w:t>Risk classification</w:t>
      </w:r>
    </w:p>
    <w:p w14:paraId="0FB50EA9" w14:textId="77777777" w:rsidR="0012408D" w:rsidRPr="0012408D" w:rsidRDefault="0012408D" w:rsidP="0012408D">
      <w:pPr>
        <w:numPr>
          <w:ilvl w:val="0"/>
          <w:numId w:val="39"/>
        </w:numPr>
        <w:spacing w:before="240"/>
        <w:rPr>
          <w:rFonts w:ascii="Times New Roman" w:hAnsi="Times New Roman" w:cs="Times New Roman"/>
          <w:sz w:val="28"/>
          <w:szCs w:val="28"/>
        </w:rPr>
      </w:pPr>
      <w:r w:rsidRPr="0012408D">
        <w:rPr>
          <w:rFonts w:ascii="Times New Roman" w:hAnsi="Times New Roman" w:cs="Times New Roman"/>
          <w:sz w:val="28"/>
          <w:szCs w:val="28"/>
        </w:rPr>
        <w:t>Actuation authorization</w:t>
      </w:r>
    </w:p>
    <w:p w14:paraId="30003200" w14:textId="77777777" w:rsidR="0012408D" w:rsidRPr="0012408D" w:rsidRDefault="0012408D" w:rsidP="0012408D">
      <w:pPr>
        <w:numPr>
          <w:ilvl w:val="0"/>
          <w:numId w:val="39"/>
        </w:numPr>
        <w:spacing w:before="240"/>
        <w:rPr>
          <w:rFonts w:ascii="Times New Roman" w:hAnsi="Times New Roman" w:cs="Times New Roman"/>
          <w:sz w:val="28"/>
          <w:szCs w:val="28"/>
        </w:rPr>
      </w:pPr>
      <w:r w:rsidRPr="0012408D">
        <w:rPr>
          <w:rFonts w:ascii="Times New Roman" w:hAnsi="Times New Roman" w:cs="Times New Roman"/>
          <w:sz w:val="28"/>
          <w:szCs w:val="28"/>
        </w:rPr>
        <w:t>State transitions</w:t>
      </w:r>
    </w:p>
    <w:p w14:paraId="128B0437" w14:textId="77777777" w:rsidR="0012408D" w:rsidRPr="0012408D" w:rsidRDefault="0012408D" w:rsidP="0012408D">
      <w:pPr>
        <w:numPr>
          <w:ilvl w:val="0"/>
          <w:numId w:val="39"/>
        </w:numPr>
        <w:spacing w:before="240"/>
        <w:rPr>
          <w:rFonts w:ascii="Times New Roman" w:hAnsi="Times New Roman" w:cs="Times New Roman"/>
          <w:sz w:val="28"/>
          <w:szCs w:val="28"/>
        </w:rPr>
      </w:pPr>
      <w:r w:rsidRPr="0012408D">
        <w:rPr>
          <w:rFonts w:ascii="Times New Roman" w:hAnsi="Times New Roman" w:cs="Times New Roman"/>
          <w:sz w:val="28"/>
          <w:szCs w:val="28"/>
        </w:rPr>
        <w:t>Lockout enforcement</w:t>
      </w:r>
    </w:p>
    <w:p w14:paraId="7A2D8021"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 xml:space="preserve">They cannot trigger, suppress, or modify CERBERUS behavior. Their role is infrastructural and substitutable: if no robot or drone is available, CERBERUS </w:t>
      </w:r>
      <w:r w:rsidRPr="0012408D">
        <w:rPr>
          <w:rFonts w:ascii="Times New Roman" w:hAnsi="Times New Roman" w:cs="Times New Roman"/>
          <w:sz w:val="28"/>
          <w:szCs w:val="28"/>
        </w:rPr>
        <w:lastRenderedPageBreak/>
        <w:t>continues to operate locally with reduced endurance, rather than entering any unsafe or externally steerable mode.</w:t>
      </w:r>
    </w:p>
    <w:p w14:paraId="3E995D23" w14:textId="1C368F15" w:rsidR="0012408D" w:rsidRPr="0012408D" w:rsidRDefault="0012408D" w:rsidP="0012408D">
      <w:pPr>
        <w:spacing w:before="240"/>
        <w:rPr>
          <w:rFonts w:ascii="Times New Roman" w:hAnsi="Times New Roman" w:cs="Times New Roman"/>
          <w:b/>
          <w:bCs/>
          <w:sz w:val="34"/>
          <w:szCs w:val="34"/>
        </w:rPr>
      </w:pPr>
      <w:r w:rsidRPr="0012408D">
        <w:rPr>
          <w:rFonts w:ascii="Times New Roman" w:hAnsi="Times New Roman" w:cs="Times New Roman"/>
          <w:b/>
          <w:bCs/>
          <w:sz w:val="34"/>
          <w:szCs w:val="34"/>
        </w:rPr>
        <w:t>1</w:t>
      </w:r>
      <w:r w:rsidR="00040995" w:rsidRPr="00040995">
        <w:rPr>
          <w:rFonts w:ascii="Times New Roman" w:hAnsi="Times New Roman" w:cs="Times New Roman"/>
          <w:b/>
          <w:bCs/>
          <w:sz w:val="34"/>
          <w:szCs w:val="34"/>
        </w:rPr>
        <w:t>0</w:t>
      </w:r>
      <w:r w:rsidRPr="0012408D">
        <w:rPr>
          <w:rFonts w:ascii="Times New Roman" w:hAnsi="Times New Roman" w:cs="Times New Roman"/>
          <w:b/>
          <w:bCs/>
          <w:sz w:val="34"/>
          <w:szCs w:val="34"/>
        </w:rPr>
        <w:t>.5 Platform Agnosticism</w:t>
      </w:r>
    </w:p>
    <w:p w14:paraId="1C96D7F7" w14:textId="77777777" w:rsidR="0012408D" w:rsidRPr="0012408D" w:rsidRDefault="0012408D" w:rsidP="0012408D">
      <w:pPr>
        <w:spacing w:before="240"/>
        <w:rPr>
          <w:rFonts w:ascii="Times New Roman" w:hAnsi="Times New Roman" w:cs="Times New Roman"/>
          <w:sz w:val="28"/>
          <w:szCs w:val="28"/>
        </w:rPr>
      </w:pPr>
      <w:r w:rsidRPr="0012408D">
        <w:rPr>
          <w:rFonts w:ascii="Times New Roman" w:hAnsi="Times New Roman" w:cs="Times New Roman"/>
          <w:sz w:val="28"/>
          <w:szCs w:val="28"/>
        </w:rPr>
        <w:t>CERBERUS does not assume or depend upon any specific autonomous platform, aerial or otherwise. Any system fulfilling this role—whether a Boston Dynamics</w:t>
      </w:r>
      <w:r w:rsidRPr="0012408D">
        <w:rPr>
          <w:rFonts w:ascii="Times New Roman" w:hAnsi="Times New Roman" w:cs="Times New Roman"/>
          <w:sz w:val="28"/>
          <w:szCs w:val="28"/>
        </w:rPr>
        <w:noBreakHyphen/>
        <w:t>class quadruped, a commercial sUAS, or a future unmanned ground vehicle—must satisfy the same constraints: no actuation capability, no runtime influence, and no embedded decision authority.​</w:t>
      </w:r>
    </w:p>
    <w:p w14:paraId="4654D4B2" w14:textId="3F709332" w:rsidR="0012408D" w:rsidRPr="0012408D" w:rsidRDefault="0012408D" w:rsidP="0012408D">
      <w:pPr>
        <w:spacing w:before="240" w:after="0"/>
        <w:rPr>
          <w:rFonts w:ascii="Times New Roman" w:hAnsi="Times New Roman" w:cs="Times New Roman"/>
          <w:sz w:val="28"/>
          <w:szCs w:val="28"/>
        </w:rPr>
      </w:pPr>
      <w:r w:rsidRPr="0012408D">
        <w:rPr>
          <w:rFonts w:ascii="Times New Roman" w:hAnsi="Times New Roman" w:cs="Times New Roman"/>
          <w:sz w:val="28"/>
          <w:szCs w:val="28"/>
        </w:rPr>
        <w:t>This platform</w:t>
      </w:r>
      <w:r w:rsidRPr="0012408D">
        <w:rPr>
          <w:rFonts w:ascii="Times New Roman" w:hAnsi="Times New Roman" w:cs="Times New Roman"/>
          <w:sz w:val="28"/>
          <w:szCs w:val="28"/>
        </w:rPr>
        <w:noBreakHyphen/>
        <w:t>agnostic design keeps CERBERUS vendor</w:t>
      </w:r>
      <w:r w:rsidRPr="0012408D">
        <w:rPr>
          <w:rFonts w:ascii="Times New Roman" w:hAnsi="Times New Roman" w:cs="Times New Roman"/>
          <w:sz w:val="28"/>
          <w:szCs w:val="28"/>
        </w:rPr>
        <w:noBreakHyphen/>
        <w:t>neutral, compatible with evolving logistics technologies, and aligned with its central premise: the only entity with legitimate, real</w:t>
      </w:r>
      <w:r w:rsidRPr="0012408D">
        <w:rPr>
          <w:rFonts w:ascii="Times New Roman" w:hAnsi="Times New Roman" w:cs="Times New Roman"/>
          <w:sz w:val="28"/>
          <w:szCs w:val="28"/>
        </w:rPr>
        <w:noBreakHyphen/>
        <w:t>time authority over a body is the person wearing the device, plus the constrained logic running locally on their own hardware.</w:t>
      </w:r>
    </w:p>
    <w:p w14:paraId="0E99847B" w14:textId="77777777" w:rsidR="0012408D" w:rsidRPr="0012408D" w:rsidRDefault="0012408D" w:rsidP="0012408D">
      <w:pPr>
        <w:pBdr>
          <w:bottom w:val="single" w:sz="4" w:space="1" w:color="auto"/>
        </w:pBdr>
        <w:spacing w:before="240" w:after="0"/>
        <w:rPr>
          <w:rFonts w:ascii="Times New Roman" w:hAnsi="Times New Roman" w:cs="Times New Roman"/>
          <w:b/>
          <w:bCs/>
          <w:sz w:val="28"/>
          <w:szCs w:val="28"/>
        </w:rPr>
      </w:pPr>
    </w:p>
    <w:p w14:paraId="5E9972BD" w14:textId="77777777" w:rsidR="007138B7" w:rsidRPr="007138B7" w:rsidRDefault="007138B7" w:rsidP="007138B7">
      <w:pPr>
        <w:spacing w:before="240"/>
        <w:rPr>
          <w:rFonts w:ascii="Times New Roman" w:hAnsi="Times New Roman" w:cs="Times New Roman"/>
          <w:b/>
          <w:bCs/>
          <w:sz w:val="40"/>
          <w:szCs w:val="40"/>
        </w:rPr>
      </w:pPr>
      <w:r w:rsidRPr="007138B7">
        <w:rPr>
          <w:rFonts w:ascii="Times New Roman" w:hAnsi="Times New Roman" w:cs="Times New Roman"/>
          <w:b/>
          <w:bCs/>
          <w:sz w:val="40"/>
          <w:szCs w:val="40"/>
        </w:rPr>
        <w:t>12. Future Extensions: First Responders and Domestic Public Safety</w:t>
      </w:r>
    </w:p>
    <w:p w14:paraId="3FD39EE4"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While CERBERUS is motivated by military and other high-risk operational environments, its architectural principles are not domain-specific. The same constraints—local authority, time-bounded intervention, and strict separation from command systems—are equally applicable to domestic first responders who endure extreme physiological and psychological loads as part of routine duty. Firefighters and law-enforcement officers experience disproportionate rates of sudden cardiac events, heat injury, and trauma-associated mental health conditions, and are already the focus of voluntary pilot programs using wearable physiological monitoring. This section outlines how CERBERUS could be extended conceptually to these roles without becoming a tool of workforce control, behavioral enforcement, or institutional coercion.</w:t>
      </w:r>
    </w:p>
    <w:p w14:paraId="34836FB0" w14:textId="77777777" w:rsidR="007138B7" w:rsidRPr="007138B7" w:rsidRDefault="007138B7" w:rsidP="007138B7">
      <w:pPr>
        <w:spacing w:before="240"/>
        <w:rPr>
          <w:rFonts w:ascii="Times New Roman" w:hAnsi="Times New Roman" w:cs="Times New Roman"/>
          <w:b/>
          <w:bCs/>
          <w:sz w:val="34"/>
          <w:szCs w:val="34"/>
        </w:rPr>
      </w:pPr>
      <w:r w:rsidRPr="007138B7">
        <w:rPr>
          <w:rFonts w:ascii="Times New Roman" w:hAnsi="Times New Roman" w:cs="Times New Roman"/>
          <w:b/>
          <w:bCs/>
          <w:sz w:val="34"/>
          <w:szCs w:val="34"/>
        </w:rPr>
        <w:t>12.1 Firefighters: Extreme Exposure and Post-Incident Stabilization</w:t>
      </w:r>
    </w:p>
    <w:p w14:paraId="31608B21"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lastRenderedPageBreak/>
        <w:t>Firefighters routinely operate under conditions of intense thermal stress, heavy exertion, respiratory burden, and unpredictable structural hazards. Cardiovascular events remain a leading cause of line-of-duty mortality, and cumulative musculoskeletal injury contributes significantly to early career exit. Existing responder-health programs increasingly rely on wearable monitoring to detect dangerous strain and guide rehabilitation, but these systems are typically advisory and retrospective.</w:t>
      </w:r>
    </w:p>
    <w:p w14:paraId="5FC642CF"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 xml:space="preserve">A firefighter-adapted CERBERUS configuration would preserve the same core invariants as the military architecture: edge-local sensing, consent-gated eligibility, and post-incident operation only. Raw physiological data would remain </w:t>
      </w:r>
      <w:proofErr w:type="spellStart"/>
      <w:r w:rsidRPr="007138B7">
        <w:rPr>
          <w:rFonts w:ascii="Times New Roman" w:hAnsi="Times New Roman" w:cs="Times New Roman"/>
          <w:sz w:val="28"/>
          <w:szCs w:val="28"/>
        </w:rPr>
        <w:t>local</w:t>
      </w:r>
      <w:proofErr w:type="spellEnd"/>
      <w:r w:rsidRPr="007138B7">
        <w:rPr>
          <w:rFonts w:ascii="Times New Roman" w:hAnsi="Times New Roman" w:cs="Times New Roman"/>
          <w:sz w:val="28"/>
          <w:szCs w:val="28"/>
        </w:rPr>
        <w:t xml:space="preserve"> to the device, while the system would be permitted to recognize acute transition states following extreme exposure—such as periods of elevated cardiometabolic strain or systemic instability immediately after suppression or rescue operations.</w:t>
      </w:r>
    </w:p>
    <w:p w14:paraId="53FDE686"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Any biological buffering supported by CERBERUS in this context would be framed narrowly as post-incident stabilization, not as endurance enhancement or performance optimization. Interventions, if ever authorized externally by clinicians and labor-governed policy, would be limited to short windows following exceptional exposure and would be explicitly barred from use during active operations. Critically, no command authority, incident commander, or supervisory system would be permitted to influence thresholds or eligibility; CERBERUS would exist solely to reduce avoidable secondary injury in the immediate aftermath of extreme duty.</w:t>
      </w:r>
    </w:p>
    <w:p w14:paraId="4E818F07" w14:textId="77777777" w:rsidR="007138B7" w:rsidRPr="007138B7" w:rsidRDefault="007138B7" w:rsidP="007138B7">
      <w:pPr>
        <w:spacing w:before="240"/>
        <w:rPr>
          <w:rFonts w:ascii="Times New Roman" w:hAnsi="Times New Roman" w:cs="Times New Roman"/>
          <w:b/>
          <w:bCs/>
          <w:sz w:val="34"/>
          <w:szCs w:val="34"/>
        </w:rPr>
      </w:pPr>
      <w:r w:rsidRPr="007138B7">
        <w:rPr>
          <w:rFonts w:ascii="Times New Roman" w:hAnsi="Times New Roman" w:cs="Times New Roman"/>
          <w:b/>
          <w:bCs/>
          <w:sz w:val="34"/>
          <w:szCs w:val="34"/>
        </w:rPr>
        <w:t>12.2 Law Enforcement: Acute Stress and Post-Event Recovery</w:t>
      </w:r>
    </w:p>
    <w:p w14:paraId="5B58CC0B"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Law-enforcement officers face a different but equally severe risk envelope, characterized by sudden violent encounters, prolonged hypervigilance, and exposure to psychologically traumatic scenes. Wearable technologies have begun to appear in policing contexts to support sleep health, stress awareness, and voluntary wellness programs, with evidence that acceptance depends heavily on strong safeguards against disciplinary use.</w:t>
      </w:r>
    </w:p>
    <w:p w14:paraId="7898AD4A"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 xml:space="preserve">Within this domain, a CERBERUS-based system would prioritize post-event physiological recovery, not situational awareness or tactical advantage. The </w:t>
      </w:r>
      <w:r w:rsidRPr="007138B7">
        <w:rPr>
          <w:rFonts w:ascii="Times New Roman" w:hAnsi="Times New Roman" w:cs="Times New Roman"/>
          <w:sz w:val="28"/>
          <w:szCs w:val="28"/>
        </w:rPr>
        <w:lastRenderedPageBreak/>
        <w:t>architecture would be limited to recognizing extreme stress transitions associated with high-threat or high-impact incidents and enabling tightly constrained buffering during the recovery period that follows. Any such buffering would be non-sedating, non-impairing, and explicitly decoupled from real-time decision-making or behavioral assessment.</w:t>
      </w:r>
    </w:p>
    <w:p w14:paraId="143CF449"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Equally important, CERBERUS metadata and state transitions could serve as voluntary triggers for follow-up care, such as counseling or trauma-informed support, rather than as inputs to performance review or investigative processes. The reference architecture must explicitly prohibit integration with weapon-detection systems, body-camera analytics, predictive-policing models, or any surveillance infrastructure that could attempt to repurpose CERBERUS as a mechanism of control.</w:t>
      </w:r>
    </w:p>
    <w:p w14:paraId="01744680" w14:textId="77777777" w:rsidR="007138B7" w:rsidRPr="007138B7" w:rsidRDefault="007138B7" w:rsidP="007138B7">
      <w:pPr>
        <w:spacing w:before="240"/>
        <w:rPr>
          <w:rFonts w:ascii="Times New Roman" w:hAnsi="Times New Roman" w:cs="Times New Roman"/>
          <w:b/>
          <w:bCs/>
          <w:sz w:val="34"/>
          <w:szCs w:val="34"/>
        </w:rPr>
      </w:pPr>
      <w:r w:rsidRPr="007138B7">
        <w:rPr>
          <w:rFonts w:ascii="Times New Roman" w:hAnsi="Times New Roman" w:cs="Times New Roman"/>
          <w:b/>
          <w:bCs/>
          <w:sz w:val="34"/>
          <w:szCs w:val="34"/>
        </w:rPr>
        <w:t>12.3 Consent, Governance, and Labor Protection</w:t>
      </w:r>
    </w:p>
    <w:p w14:paraId="64C155E5"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The legitimacy of CERBERUS in domestic public-safety roles depends entirely on consent and governance. Prior analyses of workplace wearables demonstrate that even well-intentioned health monitoring can become coercive when tied to management evaluation or imposed as a condition of employment. To remain within an acceptable and defensible envelope, any firefighter or law-enforcement deployment must satisfy several non-negotiable requirements.</w:t>
      </w:r>
    </w:p>
    <w:p w14:paraId="68091146"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t>Participation must be voluntary, with the ability to pause or withdraw without penalty. Program design, thresholds, and allowable intervention classes must be co-governed by unions, professional associations, and independent clinicians rather than by agencies or vendors alone. Event metadata may support health interventions and research, but it must be strictly segregated from disciplinary systems, performance evaluation, and litigation absent explicit, case-specific consent and due-process protections. Finally, the architecture should formally prohibit coupling to crowd-control, surveillance, or predictive systems that could attempt to appropriate CERBERUS as a behavioral or compliance tool.</w:t>
      </w:r>
    </w:p>
    <w:p w14:paraId="3EE8A2FD" w14:textId="77777777" w:rsidR="007138B7" w:rsidRPr="007138B7" w:rsidRDefault="007138B7" w:rsidP="007138B7">
      <w:pPr>
        <w:spacing w:before="240"/>
        <w:rPr>
          <w:rFonts w:ascii="Times New Roman" w:hAnsi="Times New Roman" w:cs="Times New Roman"/>
          <w:b/>
          <w:bCs/>
          <w:sz w:val="34"/>
          <w:szCs w:val="34"/>
        </w:rPr>
      </w:pPr>
      <w:r w:rsidRPr="007138B7">
        <w:rPr>
          <w:rFonts w:ascii="Times New Roman" w:hAnsi="Times New Roman" w:cs="Times New Roman"/>
          <w:b/>
          <w:bCs/>
          <w:sz w:val="34"/>
          <w:szCs w:val="34"/>
        </w:rPr>
        <w:t>12.4 Positioning Within Responder Health Ecosystems</w:t>
      </w:r>
    </w:p>
    <w:p w14:paraId="7DC1A7B6" w14:textId="77777777" w:rsidR="007138B7" w:rsidRPr="007138B7" w:rsidRDefault="007138B7" w:rsidP="007138B7">
      <w:pPr>
        <w:spacing w:before="240"/>
        <w:rPr>
          <w:rFonts w:ascii="Times New Roman" w:hAnsi="Times New Roman" w:cs="Times New Roman"/>
          <w:sz w:val="28"/>
          <w:szCs w:val="28"/>
        </w:rPr>
      </w:pPr>
      <w:r w:rsidRPr="007138B7">
        <w:rPr>
          <w:rFonts w:ascii="Times New Roman" w:hAnsi="Times New Roman" w:cs="Times New Roman"/>
          <w:sz w:val="28"/>
          <w:szCs w:val="28"/>
        </w:rPr>
        <w:lastRenderedPageBreak/>
        <w:t>CERBERUS should be understood as one component within a broader responder-health ecosystem that already includes cardiovascular screening, mental-health services, peer support, and next-generation protective equipment. Its distinctive contribution is not monitoring alone, but time-tight, locally governed biological buffering at the boundary between extreme exposure and longer-term harm.</w:t>
      </w:r>
    </w:p>
    <w:p w14:paraId="0AE40E70" w14:textId="731F93CD" w:rsidR="007138B7" w:rsidRDefault="007138B7" w:rsidP="007138B7">
      <w:pPr>
        <w:rPr>
          <w:rFonts w:ascii="Times New Roman" w:hAnsi="Times New Roman" w:cs="Times New Roman"/>
          <w:sz w:val="28"/>
          <w:szCs w:val="28"/>
        </w:rPr>
      </w:pPr>
      <w:r w:rsidRPr="007138B7">
        <w:rPr>
          <w:rFonts w:ascii="Times New Roman" w:hAnsi="Times New Roman" w:cs="Times New Roman"/>
          <w:sz w:val="28"/>
          <w:szCs w:val="28"/>
        </w:rPr>
        <w:t>Framed in this way, the extension of CERBERUS to firefighting and law enforcement is not an expansion of managerial power. It is an assertion that society’s obligation to first responders extends beyond tools to perform their jobs, and includes rigorously constrained technologies designed to protect them from the cumulative, often invisible injuries that service entails.</w:t>
      </w:r>
    </w:p>
    <w:p w14:paraId="5861F951" w14:textId="77777777" w:rsidR="007138B7" w:rsidRPr="007138B7" w:rsidRDefault="007138B7" w:rsidP="007138B7">
      <w:pPr>
        <w:pBdr>
          <w:bottom w:val="single" w:sz="4" w:space="1" w:color="auto"/>
        </w:pBdr>
        <w:rPr>
          <w:rFonts w:ascii="Times New Roman" w:hAnsi="Times New Roman" w:cs="Times New Roman"/>
          <w:sz w:val="28"/>
          <w:szCs w:val="28"/>
        </w:rPr>
      </w:pPr>
    </w:p>
    <w:p w14:paraId="1C984B55" w14:textId="77777777" w:rsidR="00D73522" w:rsidRPr="00D73522" w:rsidRDefault="00D73522" w:rsidP="00D73522">
      <w:pPr>
        <w:spacing w:before="240"/>
        <w:rPr>
          <w:rFonts w:ascii="Times New Roman" w:hAnsi="Times New Roman" w:cs="Times New Roman"/>
          <w:b/>
          <w:bCs/>
          <w:sz w:val="40"/>
          <w:szCs w:val="40"/>
        </w:rPr>
      </w:pPr>
      <w:r w:rsidRPr="00D73522">
        <w:rPr>
          <w:rFonts w:ascii="Times New Roman" w:hAnsi="Times New Roman" w:cs="Times New Roman"/>
          <w:b/>
          <w:bCs/>
          <w:sz w:val="40"/>
          <w:szCs w:val="40"/>
        </w:rPr>
        <w:t>13. Prohibited Use: Performance Enhancement and Long-Horizon Risk</w:t>
      </w:r>
    </w:p>
    <w:p w14:paraId="198EB461"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CERBERUS is explicitly designed for acute harm buffering and post-incident stabilization, not for performance enhancement, optimization, or cosmetic repair. Any attempt to repurpose the framework toward enhancement would violate its architectural premises and introduce substantial biological, systemic, and governance risks. This section articulates why enhancement-oriented use is out of scope by design, and why misapplication would be dangerous even if technically feasible.</w:t>
      </w:r>
    </w:p>
    <w:p w14:paraId="12AA9F12"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t>13.1 Injury Mitigation vs. Performance Enhancement</w:t>
      </w:r>
    </w:p>
    <w:p w14:paraId="36A52100"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Injury mitigation aims to reduce secondary harm following extreme exposure or acute insult, operating within narrow temporal and physiological bounds. Performance enhancement, by contrast, seeks to push biological systems beyond their evolved operating envelope, typically through repeated, anticipatory, or cumulative intervention. These objectives are not adjacent on a continuum; they are categorically different.</w:t>
      </w:r>
    </w:p>
    <w:p w14:paraId="77EFBDF6"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 xml:space="preserve">CERBERUS is constrained to post-event eligibility, single-event authorization, enforced lockout and recovery, and the absence of adaptive optimization. </w:t>
      </w:r>
      <w:r w:rsidRPr="00D73522">
        <w:rPr>
          <w:rFonts w:ascii="Times New Roman" w:hAnsi="Times New Roman" w:cs="Times New Roman"/>
          <w:sz w:val="28"/>
          <w:szCs w:val="28"/>
        </w:rPr>
        <w:lastRenderedPageBreak/>
        <w:t>Enhancement paradigms require the opposite—repetition, stacking, feedback-driven tuning, and normalization over time. Incorporating such capabilities would transform a protective system into an optimization engine and undermine the framework’s safety guarantees.</w:t>
      </w:r>
    </w:p>
    <w:p w14:paraId="435772B7"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t>13.2 Long-Horizon Biological Risk from Enhancement-Oriented Signaling</w:t>
      </w:r>
    </w:p>
    <w:p w14:paraId="0CD8A323"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Biological pathways that support repair and short-term stabilization are context-sensitive and double-edged. When activated repeatedly, chronically, or outside appropriate injury contexts, these same pathways are associated with serious adverse outcomes documented across oncology, cardiology, and regenerative-medicine literature.</w:t>
      </w:r>
    </w:p>
    <w:p w14:paraId="6DF72238"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t>Key long-horizon risks include:</w:t>
      </w:r>
    </w:p>
    <w:p w14:paraId="3CE8BA80" w14:textId="77777777" w:rsidR="00D73522" w:rsidRPr="00D73522" w:rsidRDefault="00D73522" w:rsidP="00D73522">
      <w:pPr>
        <w:numPr>
          <w:ilvl w:val="0"/>
          <w:numId w:val="40"/>
        </w:numPr>
        <w:rPr>
          <w:rFonts w:ascii="Times New Roman" w:hAnsi="Times New Roman" w:cs="Times New Roman"/>
          <w:sz w:val="28"/>
          <w:szCs w:val="28"/>
        </w:rPr>
      </w:pPr>
      <w:r w:rsidRPr="00D73522">
        <w:rPr>
          <w:rFonts w:ascii="Times New Roman" w:hAnsi="Times New Roman" w:cs="Times New Roman"/>
          <w:sz w:val="28"/>
          <w:szCs w:val="28"/>
        </w:rPr>
        <w:t>Tumorigenesis and cancer progression: Repair-associated domains—such as growth-axis signaling, angiogenic activity, cell migration, and tissue remodeling—are also upstream of tumor proliferation, invasion, and metastasis when dysregulated or chronically stimulated.</w:t>
      </w:r>
    </w:p>
    <w:p w14:paraId="47479997" w14:textId="77777777" w:rsidR="00D73522" w:rsidRPr="00D73522" w:rsidRDefault="00D73522" w:rsidP="00D73522">
      <w:pPr>
        <w:numPr>
          <w:ilvl w:val="0"/>
          <w:numId w:val="40"/>
        </w:numPr>
        <w:rPr>
          <w:rFonts w:ascii="Times New Roman" w:hAnsi="Times New Roman" w:cs="Times New Roman"/>
          <w:sz w:val="28"/>
          <w:szCs w:val="28"/>
        </w:rPr>
      </w:pPr>
      <w:r w:rsidRPr="00D73522">
        <w:rPr>
          <w:rFonts w:ascii="Times New Roman" w:hAnsi="Times New Roman" w:cs="Times New Roman"/>
          <w:sz w:val="28"/>
          <w:szCs w:val="28"/>
        </w:rPr>
        <w:t>Fibrosis and maladaptive remodeling: Excessive or poorly timed repair signaling can produce scarring and stiffening of cardiac, pulmonary, or musculoskeletal tissues, degrading long-term function.</w:t>
      </w:r>
    </w:p>
    <w:p w14:paraId="20DC0E93" w14:textId="77777777" w:rsidR="00D73522" w:rsidRPr="00D73522" w:rsidRDefault="00D73522" w:rsidP="00D73522">
      <w:pPr>
        <w:numPr>
          <w:ilvl w:val="0"/>
          <w:numId w:val="40"/>
        </w:numPr>
        <w:rPr>
          <w:rFonts w:ascii="Times New Roman" w:hAnsi="Times New Roman" w:cs="Times New Roman"/>
          <w:sz w:val="28"/>
          <w:szCs w:val="28"/>
        </w:rPr>
      </w:pPr>
      <w:r w:rsidRPr="00D73522">
        <w:rPr>
          <w:rFonts w:ascii="Times New Roman" w:hAnsi="Times New Roman" w:cs="Times New Roman"/>
          <w:sz w:val="28"/>
          <w:szCs w:val="28"/>
        </w:rPr>
        <w:t>Vascular instability: Repeated manipulation of vascular tone and endothelial behavior increases risks of thrombosis, hemorrhage, and chronic vascular disease.</w:t>
      </w:r>
    </w:p>
    <w:p w14:paraId="3527D347" w14:textId="77777777" w:rsidR="00D73522" w:rsidRPr="00D73522" w:rsidRDefault="00D73522" w:rsidP="00D73522">
      <w:pPr>
        <w:numPr>
          <w:ilvl w:val="0"/>
          <w:numId w:val="40"/>
        </w:numPr>
        <w:rPr>
          <w:rFonts w:ascii="Times New Roman" w:hAnsi="Times New Roman" w:cs="Times New Roman"/>
          <w:sz w:val="28"/>
          <w:szCs w:val="28"/>
        </w:rPr>
      </w:pPr>
      <w:r w:rsidRPr="00D73522">
        <w:rPr>
          <w:rFonts w:ascii="Times New Roman" w:hAnsi="Times New Roman" w:cs="Times New Roman"/>
          <w:sz w:val="28"/>
          <w:szCs w:val="28"/>
        </w:rPr>
        <w:t>Endocrine and metabolic disruption: Chronic perturbation of tightly regulated axes can trigger cascading systemic effects that may emerge months or years later.</w:t>
      </w:r>
    </w:p>
    <w:p w14:paraId="53E11545" w14:textId="77777777" w:rsidR="00D73522" w:rsidRPr="00D73522" w:rsidRDefault="00D73522" w:rsidP="00D73522">
      <w:pPr>
        <w:numPr>
          <w:ilvl w:val="0"/>
          <w:numId w:val="40"/>
        </w:numPr>
        <w:rPr>
          <w:rFonts w:ascii="Times New Roman" w:hAnsi="Times New Roman" w:cs="Times New Roman"/>
          <w:sz w:val="28"/>
          <w:szCs w:val="28"/>
        </w:rPr>
      </w:pPr>
      <w:r w:rsidRPr="00D73522">
        <w:rPr>
          <w:rFonts w:ascii="Times New Roman" w:hAnsi="Times New Roman" w:cs="Times New Roman"/>
          <w:sz w:val="28"/>
          <w:szCs w:val="28"/>
        </w:rPr>
        <w:t>Immune dysregulation: Persistent activation of stress-response or repair domains can blunt immune surveillance or provoke autoimmune phenomena.</w:t>
      </w:r>
    </w:p>
    <w:p w14:paraId="7CF9E708" w14:textId="77777777" w:rsidR="00D73522" w:rsidRPr="00D73522" w:rsidRDefault="00D73522" w:rsidP="00D73522">
      <w:pPr>
        <w:rPr>
          <w:rFonts w:ascii="Times New Roman" w:hAnsi="Times New Roman" w:cs="Times New Roman"/>
          <w:sz w:val="28"/>
          <w:szCs w:val="28"/>
        </w:rPr>
      </w:pPr>
      <w:r w:rsidRPr="00D73522">
        <w:rPr>
          <w:rFonts w:ascii="Times New Roman" w:hAnsi="Times New Roman" w:cs="Times New Roman"/>
          <w:sz w:val="28"/>
          <w:szCs w:val="28"/>
        </w:rPr>
        <w:lastRenderedPageBreak/>
        <w:t>These risks are not hypothetical. The danger lies in the fact that signals capable of healing once can cause harm when normalized or repeated.</w:t>
      </w:r>
    </w:p>
    <w:p w14:paraId="1A211E7C"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t>13.3 Systemic Risks: Escalation, Drift, and Coercion</w:t>
      </w:r>
    </w:p>
    <w:p w14:paraId="039B4933"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Beyond individual biology, enhancement introduces system-level hazards. Once a system demonstrates the capacity to confer advantage, pressures arise—organizational, cultural, or economic—to normalize its use. In occupational or operational settings, this can lead to implicit coercion, erosion of consent, and escalation from optional support to expected augmentation.</w:t>
      </w:r>
    </w:p>
    <w:p w14:paraId="7753EE4F"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Such drift would convert CERBERUS from a safety boundary into a mechanism of biological arms-racing, undermining trust, governance, and legitimacy across all domains of deployment.</w:t>
      </w:r>
    </w:p>
    <w:p w14:paraId="69EA4329"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t>13.4 Architectural Safeguards Against Enhancement</w:t>
      </w:r>
    </w:p>
    <w:p w14:paraId="5B1F5C7A" w14:textId="77777777" w:rsidR="00D73522" w:rsidRPr="00D73522" w:rsidRDefault="00D73522" w:rsidP="00D73522">
      <w:pPr>
        <w:rPr>
          <w:rFonts w:ascii="Times New Roman" w:hAnsi="Times New Roman" w:cs="Times New Roman"/>
          <w:sz w:val="28"/>
          <w:szCs w:val="28"/>
        </w:rPr>
      </w:pPr>
      <w:r w:rsidRPr="00D73522">
        <w:rPr>
          <w:rFonts w:ascii="Times New Roman" w:hAnsi="Times New Roman" w:cs="Times New Roman"/>
          <w:sz w:val="28"/>
          <w:szCs w:val="28"/>
        </w:rPr>
        <w:t>To prevent enhancement misuse, CERBERUS incorporates explicit, non-negotiable constraints:</w:t>
      </w:r>
    </w:p>
    <w:p w14:paraId="5D2B9354"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Acute-only eligibility: Authorization arises only after qualifying events; anticipatory activation is prohibited.</w:t>
      </w:r>
    </w:p>
    <w:p w14:paraId="6BBFE3A4"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Single-event authorization with hard lockout: Repetition, cycling, and cumulative intervention are structurally blocked.</w:t>
      </w:r>
    </w:p>
    <w:p w14:paraId="3B8CFA86"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No optimization logic: The system does not adapt toward improved performance metrics.</w:t>
      </w:r>
    </w:p>
    <w:p w14:paraId="2A73A88B"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No performance-linked triggers: Eligibility cannot derive from output or productivity measures.</w:t>
      </w:r>
    </w:p>
    <w:p w14:paraId="3215A960"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No command or supervisory initiation: External actors cannot initiate, suppress, or tune activation.</w:t>
      </w:r>
    </w:p>
    <w:p w14:paraId="040F894B" w14:textId="77777777" w:rsidR="00D73522" w:rsidRPr="00D73522" w:rsidRDefault="00D73522" w:rsidP="00D73522">
      <w:pPr>
        <w:numPr>
          <w:ilvl w:val="0"/>
          <w:numId w:val="41"/>
        </w:numPr>
        <w:rPr>
          <w:rFonts w:ascii="Times New Roman" w:hAnsi="Times New Roman" w:cs="Times New Roman"/>
          <w:sz w:val="28"/>
          <w:szCs w:val="28"/>
        </w:rPr>
      </w:pPr>
      <w:r w:rsidRPr="00D73522">
        <w:rPr>
          <w:rFonts w:ascii="Times New Roman" w:hAnsi="Times New Roman" w:cs="Times New Roman"/>
          <w:sz w:val="28"/>
          <w:szCs w:val="28"/>
        </w:rPr>
        <w:t>Auditability and tamper-evidence: All events, thresholds, and firmware states are cryptographically logged to detect attempts at bypass or repurposing.</w:t>
      </w:r>
    </w:p>
    <w:p w14:paraId="6312A550" w14:textId="77777777" w:rsidR="00D73522" w:rsidRPr="00D73522" w:rsidRDefault="00D73522" w:rsidP="00D73522">
      <w:pPr>
        <w:rPr>
          <w:rFonts w:ascii="Times New Roman" w:hAnsi="Times New Roman" w:cs="Times New Roman"/>
          <w:sz w:val="28"/>
          <w:szCs w:val="28"/>
        </w:rPr>
      </w:pPr>
      <w:r w:rsidRPr="00D73522">
        <w:rPr>
          <w:rFonts w:ascii="Times New Roman" w:hAnsi="Times New Roman" w:cs="Times New Roman"/>
          <w:sz w:val="28"/>
          <w:szCs w:val="28"/>
        </w:rPr>
        <w:t>These are foundational safety properties, not optional controls.</w:t>
      </w:r>
    </w:p>
    <w:p w14:paraId="5D5CC833" w14:textId="77777777" w:rsidR="00D73522" w:rsidRPr="00D73522" w:rsidRDefault="00D73522" w:rsidP="00D73522">
      <w:pPr>
        <w:spacing w:before="240"/>
        <w:rPr>
          <w:rFonts w:ascii="Times New Roman" w:hAnsi="Times New Roman" w:cs="Times New Roman"/>
          <w:b/>
          <w:bCs/>
          <w:sz w:val="34"/>
          <w:szCs w:val="34"/>
        </w:rPr>
      </w:pPr>
      <w:r w:rsidRPr="00D73522">
        <w:rPr>
          <w:rFonts w:ascii="Times New Roman" w:hAnsi="Times New Roman" w:cs="Times New Roman"/>
          <w:b/>
          <w:bCs/>
          <w:sz w:val="34"/>
          <w:szCs w:val="34"/>
        </w:rPr>
        <w:lastRenderedPageBreak/>
        <w:t>13.5 Normative Stance</w:t>
      </w:r>
    </w:p>
    <w:p w14:paraId="4B793A12" w14:textId="77777777" w:rsidR="00D73522" w:rsidRPr="00D73522" w:rsidRDefault="00D73522" w:rsidP="00D73522">
      <w:pPr>
        <w:spacing w:before="240"/>
        <w:rPr>
          <w:rFonts w:ascii="Times New Roman" w:hAnsi="Times New Roman" w:cs="Times New Roman"/>
          <w:sz w:val="28"/>
          <w:szCs w:val="28"/>
        </w:rPr>
      </w:pPr>
      <w:r w:rsidRPr="00D73522">
        <w:rPr>
          <w:rFonts w:ascii="Times New Roman" w:hAnsi="Times New Roman" w:cs="Times New Roman"/>
          <w:sz w:val="28"/>
          <w:szCs w:val="28"/>
        </w:rPr>
        <w:t>CERBERUS adopts a clear position: using this architecture for performance enhancement is a design error, not an extension. Any deployment that targets competitive advantage rather than harm reduction, relies on frequent or indefinite intervention, or ties activation to institutional productivity or combat metrics falls outside the intended scope and warrants separate, higher-risk review.</w:t>
      </w:r>
    </w:p>
    <w:p w14:paraId="1AA796DC" w14:textId="061AEBD1" w:rsidR="00D73522" w:rsidRPr="00D73522" w:rsidRDefault="00D73522" w:rsidP="00974282">
      <w:pPr>
        <w:spacing w:before="240"/>
        <w:rPr>
          <w:rFonts w:ascii="Times New Roman" w:hAnsi="Times New Roman" w:cs="Times New Roman"/>
          <w:sz w:val="28"/>
          <w:szCs w:val="28"/>
        </w:rPr>
      </w:pPr>
      <w:r w:rsidRPr="00D73522">
        <w:rPr>
          <w:rFonts w:ascii="Times New Roman" w:hAnsi="Times New Roman" w:cs="Times New Roman"/>
          <w:sz w:val="28"/>
          <w:szCs w:val="28"/>
        </w:rPr>
        <w:t>By hard-coding anti-enhancement constraints at both technical and governance levels, CERBERUS aims to ensure that potent biological tools remain aligned with protection and recovery, not exploitation.</w:t>
      </w:r>
    </w:p>
    <w:p w14:paraId="0103E5E8" w14:textId="77777777" w:rsidR="00D73522" w:rsidRPr="00D73522" w:rsidRDefault="00D73522" w:rsidP="00D73522">
      <w:pPr>
        <w:pBdr>
          <w:bottom w:val="single" w:sz="4" w:space="1" w:color="auto"/>
        </w:pBdr>
        <w:rPr>
          <w:rFonts w:ascii="Times New Roman" w:hAnsi="Times New Roman" w:cs="Times New Roman"/>
          <w:b/>
          <w:bCs/>
          <w:sz w:val="28"/>
          <w:szCs w:val="28"/>
        </w:rPr>
      </w:pPr>
    </w:p>
    <w:p w14:paraId="3A01CD03" w14:textId="4EE0A1AF" w:rsidR="00F71AD8" w:rsidRPr="00F71AD8" w:rsidRDefault="00974282" w:rsidP="00974282">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D73522">
        <w:rPr>
          <w:rFonts w:ascii="Times New Roman" w:hAnsi="Times New Roman" w:cs="Times New Roman"/>
          <w:b/>
          <w:bCs/>
          <w:sz w:val="34"/>
          <w:szCs w:val="34"/>
        </w:rPr>
        <w:t>4</w:t>
      </w:r>
      <w:r>
        <w:rPr>
          <w:rFonts w:ascii="Times New Roman" w:hAnsi="Times New Roman" w:cs="Times New Roman"/>
          <w:b/>
          <w:bCs/>
          <w:sz w:val="34"/>
          <w:szCs w:val="34"/>
        </w:rPr>
        <w:t xml:space="preserve">. </w:t>
      </w:r>
      <w:r w:rsidRPr="009D0FFA">
        <w:rPr>
          <w:rFonts w:ascii="Times New Roman" w:hAnsi="Times New Roman" w:cs="Times New Roman"/>
          <w:b/>
          <w:bCs/>
          <w:sz w:val="34"/>
          <w:szCs w:val="34"/>
        </w:rPr>
        <w:t>From Detection Architecture to Biological First Aid</w:t>
      </w:r>
      <w:r>
        <w:rPr>
          <w:rFonts w:ascii="Times New Roman" w:hAnsi="Times New Roman" w:cs="Times New Roman"/>
          <w:b/>
          <w:bCs/>
          <w:sz w:val="34"/>
          <w:szCs w:val="34"/>
        </w:rPr>
        <w:t xml:space="preserve"> &amp; </w:t>
      </w:r>
      <w:r w:rsidR="00F71AD8" w:rsidRPr="00F71AD8">
        <w:rPr>
          <w:rFonts w:ascii="Times New Roman" w:hAnsi="Times New Roman" w:cs="Times New Roman"/>
          <w:b/>
          <w:bCs/>
          <w:sz w:val="34"/>
          <w:szCs w:val="34"/>
        </w:rPr>
        <w:t>Conclusion</w:t>
      </w:r>
    </w:p>
    <w:p w14:paraId="6F65762E" w14:textId="6E7E2EAF"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 xml:space="preserve">CERBERUS represents a </w:t>
      </w:r>
      <w:r w:rsidRPr="009D0FFA">
        <w:rPr>
          <w:rFonts w:ascii="Times New Roman" w:hAnsi="Times New Roman" w:cs="Times New Roman"/>
          <w:b/>
          <w:bCs/>
          <w:sz w:val="28"/>
          <w:szCs w:val="28"/>
        </w:rPr>
        <w:t>deliberate, constraint-locked extension</w:t>
      </w:r>
      <w:r w:rsidRPr="009D0FFA">
        <w:rPr>
          <w:rFonts w:ascii="Times New Roman" w:hAnsi="Times New Roman" w:cs="Times New Roman"/>
          <w:sz w:val="28"/>
          <w:szCs w:val="28"/>
        </w:rPr>
        <w:t xml:space="preserve"> of the C.H.I.L.D. framework into the biological domain for adult operators. Where C.H.I.L.D. detects, signals, and escalates risk, CERBERUS introduces a </w:t>
      </w:r>
      <w:r w:rsidRPr="009D0FFA">
        <w:rPr>
          <w:rFonts w:ascii="Times New Roman" w:hAnsi="Times New Roman" w:cs="Times New Roman"/>
          <w:b/>
          <w:bCs/>
          <w:sz w:val="28"/>
          <w:szCs w:val="28"/>
        </w:rPr>
        <w:t>voluntary, fail-silent, acute biological buffering layer</w:t>
      </w:r>
      <w:r w:rsidRPr="009D0FFA">
        <w:rPr>
          <w:rFonts w:ascii="Times New Roman" w:hAnsi="Times New Roman" w:cs="Times New Roman"/>
          <w:sz w:val="28"/>
          <w:szCs w:val="28"/>
        </w:rPr>
        <w:t xml:space="preserve"> designed to reduce secondary injury when physiological escalation outpaces available care.</w:t>
      </w:r>
    </w:p>
    <w:p w14:paraId="2273B07C" w14:textId="77777777" w:rsidR="009D0FFA" w:rsidRPr="009D0FFA" w:rsidRDefault="009D0FFA" w:rsidP="009D0FFA">
      <w:pPr>
        <w:rPr>
          <w:rFonts w:ascii="Times New Roman" w:hAnsi="Times New Roman" w:cs="Times New Roman"/>
          <w:sz w:val="28"/>
          <w:szCs w:val="28"/>
        </w:rPr>
      </w:pPr>
      <w:r w:rsidRPr="009D0FFA">
        <w:rPr>
          <w:rFonts w:ascii="Times New Roman" w:hAnsi="Times New Roman" w:cs="Times New Roman"/>
          <w:sz w:val="28"/>
          <w:szCs w:val="28"/>
        </w:rPr>
        <w:t>Within this framework:</w:t>
      </w:r>
    </w:p>
    <w:p w14:paraId="4B463C92" w14:textId="77777777" w:rsidR="009D0FFA" w:rsidRPr="009D0FFA" w:rsidRDefault="009D0FFA" w:rsidP="009D0FFA">
      <w:pPr>
        <w:numPr>
          <w:ilvl w:val="0"/>
          <w:numId w:val="22"/>
        </w:numPr>
        <w:rPr>
          <w:rFonts w:ascii="Times New Roman" w:hAnsi="Times New Roman" w:cs="Times New Roman"/>
          <w:sz w:val="28"/>
          <w:szCs w:val="28"/>
        </w:rPr>
      </w:pPr>
      <w:r w:rsidRPr="009D0FFA">
        <w:rPr>
          <w:rFonts w:ascii="Times New Roman" w:hAnsi="Times New Roman" w:cs="Times New Roman"/>
          <w:b/>
          <w:bCs/>
          <w:sz w:val="28"/>
          <w:szCs w:val="28"/>
        </w:rPr>
        <w:t>Peptides function as molecular buffers</w:t>
      </w:r>
      <w:r w:rsidRPr="009D0FFA">
        <w:rPr>
          <w:rFonts w:ascii="Times New Roman" w:hAnsi="Times New Roman" w:cs="Times New Roman"/>
          <w:sz w:val="28"/>
          <w:szCs w:val="28"/>
        </w:rPr>
        <w:t>, not therapies</w:t>
      </w:r>
    </w:p>
    <w:p w14:paraId="608E775E" w14:textId="77777777" w:rsidR="009D0FFA" w:rsidRPr="009D0FFA" w:rsidRDefault="009D0FFA" w:rsidP="009D0FFA">
      <w:pPr>
        <w:numPr>
          <w:ilvl w:val="0"/>
          <w:numId w:val="22"/>
        </w:numPr>
        <w:rPr>
          <w:rFonts w:ascii="Times New Roman" w:hAnsi="Times New Roman" w:cs="Times New Roman"/>
          <w:sz w:val="28"/>
          <w:szCs w:val="28"/>
        </w:rPr>
      </w:pPr>
      <w:r w:rsidRPr="009D0FFA">
        <w:rPr>
          <w:rFonts w:ascii="Times New Roman" w:hAnsi="Times New Roman" w:cs="Times New Roman"/>
          <w:b/>
          <w:bCs/>
          <w:sz w:val="28"/>
          <w:szCs w:val="28"/>
        </w:rPr>
        <w:t>Biosensors function as vigilant sentinels</w:t>
      </w:r>
      <w:r w:rsidRPr="009D0FFA">
        <w:rPr>
          <w:rFonts w:ascii="Times New Roman" w:hAnsi="Times New Roman" w:cs="Times New Roman"/>
          <w:sz w:val="28"/>
          <w:szCs w:val="28"/>
        </w:rPr>
        <w:t>, not behavioral interpreters</w:t>
      </w:r>
    </w:p>
    <w:p w14:paraId="5486322E" w14:textId="77777777" w:rsidR="009D0FFA" w:rsidRPr="009D0FFA" w:rsidRDefault="009D0FFA" w:rsidP="009D0FFA">
      <w:pPr>
        <w:numPr>
          <w:ilvl w:val="0"/>
          <w:numId w:val="22"/>
        </w:numPr>
        <w:rPr>
          <w:rFonts w:ascii="Times New Roman" w:hAnsi="Times New Roman" w:cs="Times New Roman"/>
          <w:sz w:val="28"/>
          <w:szCs w:val="28"/>
        </w:rPr>
      </w:pPr>
      <w:r w:rsidRPr="009D0FFA">
        <w:rPr>
          <w:rFonts w:ascii="Times New Roman" w:hAnsi="Times New Roman" w:cs="Times New Roman"/>
          <w:b/>
          <w:bCs/>
          <w:sz w:val="28"/>
          <w:szCs w:val="28"/>
        </w:rPr>
        <w:t>Microneedles function as time-critical dispensaries</w:t>
      </w:r>
      <w:r w:rsidRPr="009D0FFA">
        <w:rPr>
          <w:rFonts w:ascii="Times New Roman" w:hAnsi="Times New Roman" w:cs="Times New Roman"/>
          <w:sz w:val="28"/>
          <w:szCs w:val="28"/>
        </w:rPr>
        <w:t>, not delivery platforms for chronic modulation</w:t>
      </w:r>
    </w:p>
    <w:p w14:paraId="3B3FF12B" w14:textId="565392A5" w:rsidR="009D0FFA" w:rsidRDefault="009D0FFA" w:rsidP="008F70A8">
      <w:pPr>
        <w:spacing w:after="0"/>
        <w:rPr>
          <w:rFonts w:ascii="Times New Roman" w:hAnsi="Times New Roman" w:cs="Times New Roman"/>
          <w:sz w:val="28"/>
          <w:szCs w:val="28"/>
        </w:rPr>
      </w:pPr>
      <w:r w:rsidRPr="009D0FFA">
        <w:rPr>
          <w:rFonts w:ascii="Times New Roman" w:hAnsi="Times New Roman" w:cs="Times New Roman"/>
          <w:sz w:val="28"/>
          <w:szCs w:val="28"/>
        </w:rPr>
        <w:t>It is not a behavioral system.</w:t>
      </w:r>
      <w:r w:rsidRPr="009D0FFA">
        <w:rPr>
          <w:rFonts w:ascii="Times New Roman" w:hAnsi="Times New Roman" w:cs="Times New Roman"/>
          <w:sz w:val="28"/>
          <w:szCs w:val="28"/>
        </w:rPr>
        <w:br/>
        <w:t>It is not a calming system.</w:t>
      </w:r>
      <w:r w:rsidRPr="009D0FFA">
        <w:rPr>
          <w:rFonts w:ascii="Times New Roman" w:hAnsi="Times New Roman" w:cs="Times New Roman"/>
          <w:sz w:val="28"/>
          <w:szCs w:val="28"/>
        </w:rPr>
        <w:br/>
        <w:t>It is not an optimization system.</w:t>
      </w:r>
    </w:p>
    <w:p w14:paraId="7771CC24" w14:textId="3A91C04A" w:rsidR="008F70A8" w:rsidRPr="009D0FFA" w:rsidRDefault="008F70A8" w:rsidP="009D0FFA">
      <w:pPr>
        <w:rPr>
          <w:rFonts w:ascii="Times New Roman" w:hAnsi="Times New Roman" w:cs="Times New Roman"/>
          <w:sz w:val="28"/>
          <w:szCs w:val="28"/>
        </w:rPr>
      </w:pPr>
      <w:r w:rsidRPr="008F70A8">
        <w:rPr>
          <w:rFonts w:ascii="Times New Roman" w:hAnsi="Times New Roman" w:cs="Times New Roman"/>
          <w:i/>
          <w:iCs/>
          <w:sz w:val="28"/>
          <w:szCs w:val="28"/>
        </w:rPr>
        <w:t>It is a mitigation system</w:t>
      </w:r>
      <w:r>
        <w:rPr>
          <w:rFonts w:ascii="Times New Roman" w:hAnsi="Times New Roman" w:cs="Times New Roman"/>
          <w:sz w:val="28"/>
          <w:szCs w:val="28"/>
        </w:rPr>
        <w:t>.</w:t>
      </w:r>
    </w:p>
    <w:p w14:paraId="5220B47D" w14:textId="33F55E27" w:rsidR="009D0FFA" w:rsidRDefault="009D0FFA" w:rsidP="00F41EE8">
      <w:pPr>
        <w:spacing w:after="0"/>
        <w:rPr>
          <w:rFonts w:ascii="Times New Roman" w:hAnsi="Times New Roman" w:cs="Times New Roman"/>
          <w:sz w:val="28"/>
          <w:szCs w:val="28"/>
        </w:rPr>
      </w:pPr>
      <w:r w:rsidRPr="009D0FFA">
        <w:rPr>
          <w:rFonts w:ascii="Times New Roman" w:hAnsi="Times New Roman" w:cs="Times New Roman"/>
          <w:sz w:val="28"/>
          <w:szCs w:val="28"/>
        </w:rPr>
        <w:lastRenderedPageBreak/>
        <w:t xml:space="preserve">CERBERUS is a </w:t>
      </w:r>
      <w:r w:rsidRPr="009D0FFA">
        <w:rPr>
          <w:rFonts w:ascii="Times New Roman" w:hAnsi="Times New Roman" w:cs="Times New Roman"/>
          <w:b/>
          <w:bCs/>
          <w:sz w:val="28"/>
          <w:szCs w:val="28"/>
        </w:rPr>
        <w:t>consent-bound, event-limited, non-sedating biological first-aid concept</w:t>
      </w:r>
      <w:r w:rsidRPr="009D0FFA">
        <w:rPr>
          <w:rFonts w:ascii="Times New Roman" w:hAnsi="Times New Roman" w:cs="Times New Roman"/>
          <w:sz w:val="28"/>
          <w:szCs w:val="28"/>
        </w:rPr>
        <w:t xml:space="preserve">, intended to operate only where </w:t>
      </w:r>
      <w:r w:rsidRPr="009D0FFA">
        <w:rPr>
          <w:rFonts w:ascii="Times New Roman" w:hAnsi="Times New Roman" w:cs="Times New Roman"/>
          <w:b/>
          <w:bCs/>
          <w:sz w:val="28"/>
          <w:szCs w:val="28"/>
        </w:rPr>
        <w:t>non-intervention plausibly carries greater harm</w:t>
      </w:r>
      <w:r w:rsidRPr="009D0FFA">
        <w:rPr>
          <w:rFonts w:ascii="Times New Roman" w:hAnsi="Times New Roman" w:cs="Times New Roman"/>
          <w:sz w:val="28"/>
          <w:szCs w:val="28"/>
        </w:rPr>
        <w:t>.</w:t>
      </w:r>
    </w:p>
    <w:p w14:paraId="47908198" w14:textId="77777777" w:rsidR="00F71AD8" w:rsidRPr="009D0FFA" w:rsidRDefault="00F71AD8" w:rsidP="00F71AD8">
      <w:pPr>
        <w:pBdr>
          <w:bottom w:val="single" w:sz="4" w:space="1" w:color="auto"/>
        </w:pBdr>
        <w:rPr>
          <w:rFonts w:ascii="Times New Roman" w:hAnsi="Times New Roman" w:cs="Times New Roman"/>
          <w:sz w:val="28"/>
          <w:szCs w:val="28"/>
        </w:rPr>
      </w:pPr>
    </w:p>
    <w:p w14:paraId="15D6B48A" w14:textId="676ED0A2" w:rsidR="009D0FFA" w:rsidRDefault="00F71AD8" w:rsidP="009D0FFA">
      <w:pPr>
        <w:rPr>
          <w:rFonts w:ascii="Times New Roman" w:hAnsi="Times New Roman" w:cs="Times New Roman"/>
          <w:sz w:val="28"/>
          <w:szCs w:val="28"/>
        </w:rPr>
      </w:pPr>
      <w:r>
        <w:rPr>
          <w:rFonts w:ascii="Times New Roman" w:hAnsi="Times New Roman" w:cs="Times New Roman"/>
          <w:sz w:val="28"/>
          <w:szCs w:val="28"/>
        </w:rPr>
        <w:t xml:space="preserve">Conceptual </w:t>
      </w:r>
      <w:r w:rsidR="007F6A19">
        <w:rPr>
          <w:rFonts w:ascii="Times New Roman" w:hAnsi="Times New Roman" w:cs="Times New Roman"/>
          <w:sz w:val="28"/>
          <w:szCs w:val="28"/>
        </w:rPr>
        <w:t>o</w:t>
      </w:r>
      <w:r>
        <w:rPr>
          <w:rFonts w:ascii="Times New Roman" w:hAnsi="Times New Roman" w:cs="Times New Roman"/>
          <w:sz w:val="28"/>
          <w:szCs w:val="28"/>
        </w:rPr>
        <w:t>rigin by Dustin Sprenger</w:t>
      </w:r>
      <w:r w:rsidR="007F6A19">
        <w:rPr>
          <w:rFonts w:ascii="Times New Roman" w:hAnsi="Times New Roman" w:cs="Times New Roman"/>
          <w:sz w:val="28"/>
          <w:szCs w:val="28"/>
        </w:rPr>
        <w:t xml:space="preserve">, first formulation by </w:t>
      </w:r>
      <w:r>
        <w:rPr>
          <w:rFonts w:ascii="Times New Roman" w:hAnsi="Times New Roman" w:cs="Times New Roman"/>
          <w:sz w:val="28"/>
          <w:szCs w:val="28"/>
        </w:rPr>
        <w:t>Perplexity AI, reformulat</w:t>
      </w:r>
      <w:r w:rsidR="007F6A19">
        <w:rPr>
          <w:rFonts w:ascii="Times New Roman" w:hAnsi="Times New Roman" w:cs="Times New Roman"/>
          <w:sz w:val="28"/>
          <w:szCs w:val="28"/>
        </w:rPr>
        <w:t>ion</w:t>
      </w:r>
      <w:r>
        <w:rPr>
          <w:rFonts w:ascii="Times New Roman" w:hAnsi="Times New Roman" w:cs="Times New Roman"/>
          <w:sz w:val="28"/>
          <w:szCs w:val="28"/>
        </w:rPr>
        <w:t xml:space="preserve"> </w:t>
      </w:r>
      <w:r w:rsidR="007F6A19">
        <w:rPr>
          <w:rFonts w:ascii="Times New Roman" w:hAnsi="Times New Roman" w:cs="Times New Roman"/>
          <w:sz w:val="28"/>
          <w:szCs w:val="28"/>
        </w:rPr>
        <w:t>by</w:t>
      </w:r>
      <w:r>
        <w:rPr>
          <w:rFonts w:ascii="Times New Roman" w:hAnsi="Times New Roman" w:cs="Times New Roman"/>
          <w:sz w:val="28"/>
          <w:szCs w:val="28"/>
        </w:rPr>
        <w:t xml:space="preserve"> OpenAI GPT5.2.</w:t>
      </w:r>
      <w:r w:rsidR="000C2573">
        <w:rPr>
          <w:rFonts w:ascii="Times New Roman" w:hAnsi="Times New Roman" w:cs="Times New Roman"/>
          <w:sz w:val="28"/>
          <w:szCs w:val="28"/>
        </w:rPr>
        <w:t xml:space="preserve"> </w:t>
      </w:r>
      <w:r w:rsidR="00C23766">
        <w:rPr>
          <w:rFonts w:ascii="Times New Roman" w:hAnsi="Times New Roman" w:cs="Times New Roman"/>
          <w:sz w:val="28"/>
          <w:szCs w:val="28"/>
        </w:rPr>
        <w:t>Cover image generated by Midjourney from my creative prompts.</w:t>
      </w:r>
    </w:p>
    <w:p w14:paraId="6773A861" w14:textId="25231796" w:rsidR="000C2573" w:rsidRPr="009D0FFA" w:rsidRDefault="000C2573" w:rsidP="009D0FFA">
      <w:pPr>
        <w:rPr>
          <w:rFonts w:ascii="Times New Roman" w:hAnsi="Times New Roman" w:cs="Times New Roman"/>
          <w:sz w:val="28"/>
          <w:szCs w:val="28"/>
        </w:rPr>
      </w:pPr>
      <w:r>
        <w:rPr>
          <w:rFonts w:ascii="Times New Roman" w:hAnsi="Times New Roman" w:cs="Times New Roman"/>
          <w:sz w:val="28"/>
          <w:szCs w:val="28"/>
        </w:rPr>
        <w:t xml:space="preserve">Copyright: CC0 1.0 </w:t>
      </w:r>
    </w:p>
    <w:p w14:paraId="7DC2A240" w14:textId="77777777" w:rsidR="009D0FFA" w:rsidRDefault="009D0FFA" w:rsidP="009D0FFA">
      <w:pPr>
        <w:rPr>
          <w:rFonts w:ascii="Times New Roman" w:hAnsi="Times New Roman" w:cs="Times New Roman"/>
          <w:sz w:val="28"/>
          <w:szCs w:val="28"/>
        </w:rPr>
      </w:pPr>
    </w:p>
    <w:p w14:paraId="5E4E365C" w14:textId="77777777" w:rsidR="006E1AC0" w:rsidRDefault="006E1AC0" w:rsidP="00A34646">
      <w:pPr>
        <w:rPr>
          <w:rFonts w:ascii="Times New Roman" w:hAnsi="Times New Roman" w:cs="Times New Roman"/>
          <w:sz w:val="28"/>
          <w:szCs w:val="28"/>
        </w:rPr>
      </w:pPr>
    </w:p>
    <w:p w14:paraId="7CB7E7F0" w14:textId="77777777" w:rsidR="006E1AC0" w:rsidRDefault="006E1AC0" w:rsidP="00A34646">
      <w:pPr>
        <w:rPr>
          <w:rFonts w:ascii="Times New Roman" w:hAnsi="Times New Roman" w:cs="Times New Roman"/>
          <w:sz w:val="28"/>
          <w:szCs w:val="28"/>
        </w:rPr>
      </w:pPr>
    </w:p>
    <w:p w14:paraId="57724146" w14:textId="77777777" w:rsidR="00040995" w:rsidRDefault="00040995" w:rsidP="00A34646">
      <w:pPr>
        <w:rPr>
          <w:rFonts w:ascii="Times New Roman" w:hAnsi="Times New Roman" w:cs="Times New Roman"/>
          <w:sz w:val="28"/>
          <w:szCs w:val="28"/>
        </w:rPr>
      </w:pPr>
    </w:p>
    <w:p w14:paraId="6B7E491D" w14:textId="77777777" w:rsidR="00040995" w:rsidRDefault="00040995" w:rsidP="00A34646">
      <w:pPr>
        <w:rPr>
          <w:rFonts w:ascii="Times New Roman" w:hAnsi="Times New Roman" w:cs="Times New Roman"/>
          <w:sz w:val="28"/>
          <w:szCs w:val="28"/>
        </w:rPr>
      </w:pPr>
    </w:p>
    <w:p w14:paraId="1C75AEB4" w14:textId="77777777" w:rsidR="00040995" w:rsidRDefault="00040995" w:rsidP="00A34646">
      <w:pPr>
        <w:rPr>
          <w:rFonts w:ascii="Times New Roman" w:hAnsi="Times New Roman" w:cs="Times New Roman"/>
          <w:sz w:val="28"/>
          <w:szCs w:val="28"/>
        </w:rPr>
      </w:pPr>
    </w:p>
    <w:p w14:paraId="69628027" w14:textId="77777777" w:rsidR="00040995" w:rsidRDefault="00040995" w:rsidP="00A34646">
      <w:pPr>
        <w:rPr>
          <w:rFonts w:ascii="Times New Roman" w:hAnsi="Times New Roman" w:cs="Times New Roman"/>
          <w:sz w:val="28"/>
          <w:szCs w:val="28"/>
        </w:rPr>
      </w:pPr>
    </w:p>
    <w:p w14:paraId="31534348" w14:textId="77777777" w:rsidR="00040995" w:rsidRDefault="00040995" w:rsidP="00A34646">
      <w:pPr>
        <w:rPr>
          <w:rFonts w:ascii="Times New Roman" w:hAnsi="Times New Roman" w:cs="Times New Roman"/>
          <w:sz w:val="28"/>
          <w:szCs w:val="28"/>
        </w:rPr>
      </w:pPr>
    </w:p>
    <w:p w14:paraId="536D0042" w14:textId="77777777" w:rsidR="00EC5400" w:rsidRDefault="00EC5400" w:rsidP="00A34646">
      <w:pPr>
        <w:rPr>
          <w:rFonts w:ascii="Times New Roman" w:hAnsi="Times New Roman" w:cs="Times New Roman"/>
          <w:sz w:val="28"/>
          <w:szCs w:val="28"/>
        </w:rPr>
      </w:pPr>
    </w:p>
    <w:p w14:paraId="00801098" w14:textId="77777777" w:rsidR="00804B13" w:rsidRDefault="00804B13" w:rsidP="00A34646">
      <w:pPr>
        <w:rPr>
          <w:rFonts w:ascii="Times New Roman" w:hAnsi="Times New Roman" w:cs="Times New Roman"/>
          <w:sz w:val="28"/>
          <w:szCs w:val="28"/>
        </w:rPr>
      </w:pPr>
    </w:p>
    <w:p w14:paraId="6B0B9893" w14:textId="77777777" w:rsidR="004432EE" w:rsidRDefault="004432EE" w:rsidP="00A34646">
      <w:pPr>
        <w:rPr>
          <w:rFonts w:ascii="Times New Roman" w:hAnsi="Times New Roman" w:cs="Times New Roman"/>
          <w:sz w:val="28"/>
          <w:szCs w:val="28"/>
        </w:rPr>
      </w:pPr>
    </w:p>
    <w:p w14:paraId="29433CC9" w14:textId="77777777" w:rsidR="004432EE" w:rsidRDefault="004432EE" w:rsidP="00A34646">
      <w:pPr>
        <w:rPr>
          <w:rFonts w:ascii="Times New Roman" w:hAnsi="Times New Roman" w:cs="Times New Roman"/>
          <w:sz w:val="28"/>
          <w:szCs w:val="28"/>
        </w:rPr>
      </w:pPr>
    </w:p>
    <w:p w14:paraId="4A6AF47D" w14:textId="77777777" w:rsidR="006E1AC0" w:rsidRDefault="006E1AC0" w:rsidP="00A34646">
      <w:pPr>
        <w:rPr>
          <w:rFonts w:ascii="Times New Roman" w:hAnsi="Times New Roman" w:cs="Times New Roman"/>
          <w:sz w:val="28"/>
          <w:szCs w:val="28"/>
        </w:rPr>
      </w:pPr>
    </w:p>
    <w:p w14:paraId="4DE65784" w14:textId="10136CA2" w:rsidR="00EC5400" w:rsidRDefault="00804B13" w:rsidP="00A3464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6915" w:dyaOrig="811" w14:anchorId="73C2E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40.5pt" o:ole="">
            <v:imagedata r:id="rId6" o:title=""/>
          </v:shape>
          <o:OLEObject Type="Embed" ProgID="Package" ShapeID="_x0000_i1025" DrawAspect="Content" ObjectID="_1827830887" r:id="rId7"/>
        </w:object>
      </w:r>
    </w:p>
    <w:p w14:paraId="5E2F1FB3" w14:textId="77777777" w:rsidR="004432EE" w:rsidRPr="000533E3" w:rsidRDefault="004432EE" w:rsidP="004432EE">
      <w:pPr>
        <w:spacing w:after="0" w:line="276" w:lineRule="auto"/>
        <w:jc w:val="center"/>
        <w:rPr>
          <w:rFonts w:ascii="Times New Roman" w:hAnsi="Times New Roman" w:cs="Times New Roman"/>
          <w:sz w:val="20"/>
          <w:szCs w:val="20"/>
        </w:rPr>
      </w:pPr>
      <w:r w:rsidRPr="000533E3">
        <w:rPr>
          <w:rFonts w:ascii="Times New Roman" w:hAnsi="Times New Roman" w:cs="Times New Roman"/>
          <w:sz w:val="20"/>
          <w:szCs w:val="20"/>
        </w:rPr>
        <w:t>Entropy Breakpoint Hash – C.E.R.B.E.R.U.S.</w:t>
      </w:r>
      <w:r>
        <w:rPr>
          <w:rFonts w:ascii="Times New Roman" w:hAnsi="Times New Roman" w:cs="Times New Roman"/>
          <w:sz w:val="20"/>
          <w:szCs w:val="20"/>
        </w:rPr>
        <w:t xml:space="preserve"> v2</w:t>
      </w:r>
    </w:p>
    <w:p w14:paraId="50DFF111" w14:textId="77777777" w:rsidR="004432EE" w:rsidRPr="000533E3" w:rsidRDefault="004432EE" w:rsidP="004432EE">
      <w:pPr>
        <w:spacing w:after="0" w:line="276" w:lineRule="auto"/>
        <w:jc w:val="center"/>
        <w:rPr>
          <w:rFonts w:ascii="Times New Roman" w:hAnsi="Times New Roman" w:cs="Times New Roman"/>
          <w:sz w:val="20"/>
          <w:szCs w:val="20"/>
        </w:rPr>
      </w:pPr>
      <w:r w:rsidRPr="000533E3">
        <w:rPr>
          <w:rFonts w:ascii="Times New Roman" w:hAnsi="Times New Roman" w:cs="Times New Roman"/>
          <w:sz w:val="20"/>
          <w:szCs w:val="20"/>
        </w:rPr>
        <w:t>(SHA-256 verified text. Reference UTF-8 source file for cryptographic validation)</w:t>
      </w:r>
    </w:p>
    <w:p w14:paraId="1F55F850" w14:textId="237FCDD6" w:rsidR="004432EE" w:rsidRDefault="004432EE" w:rsidP="004432EE">
      <w:pPr>
        <w:spacing w:after="0" w:line="276" w:lineRule="auto"/>
        <w:jc w:val="center"/>
        <w:rPr>
          <w:rFonts w:ascii="Times New Roman" w:hAnsi="Times New Roman" w:cs="Times New Roman"/>
          <w:sz w:val="20"/>
          <w:szCs w:val="20"/>
        </w:rPr>
      </w:pPr>
      <w:r w:rsidRPr="00A75B7E">
        <w:rPr>
          <w:rFonts w:ascii="Times New Roman" w:hAnsi="Times New Roman" w:cs="Times New Roman"/>
          <w:sz w:val="20"/>
          <w:szCs w:val="20"/>
        </w:rPr>
        <w:t>749B1973 7B349CEB EB276683 94602828 3FBCE297 C1A9388B FBC6886D 0EDE5739</w:t>
      </w:r>
    </w:p>
    <w:p w14:paraId="1CCABBB4" w14:textId="77777777" w:rsidR="00E4486E" w:rsidRPr="009D0FFA" w:rsidRDefault="00E4486E" w:rsidP="0069247D">
      <w:pPr>
        <w:pBdr>
          <w:bottom w:val="single" w:sz="4" w:space="1" w:color="auto"/>
        </w:pBdr>
        <w:rPr>
          <w:rFonts w:ascii="Times New Roman" w:hAnsi="Times New Roman" w:cs="Times New Roman"/>
          <w:sz w:val="28"/>
          <w:szCs w:val="28"/>
        </w:rPr>
      </w:pPr>
    </w:p>
    <w:sectPr w:rsidR="00E4486E" w:rsidRPr="009D0F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483"/>
    <w:multiLevelType w:val="multilevel"/>
    <w:tmpl w:val="1B0E4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575E1"/>
    <w:multiLevelType w:val="multilevel"/>
    <w:tmpl w:val="FE82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31412"/>
    <w:multiLevelType w:val="multilevel"/>
    <w:tmpl w:val="3274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019D8"/>
    <w:multiLevelType w:val="multilevel"/>
    <w:tmpl w:val="6C6E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949D0"/>
    <w:multiLevelType w:val="multilevel"/>
    <w:tmpl w:val="E226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97674"/>
    <w:multiLevelType w:val="multilevel"/>
    <w:tmpl w:val="FDDE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E0C5C"/>
    <w:multiLevelType w:val="multilevel"/>
    <w:tmpl w:val="BA12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59223F"/>
    <w:multiLevelType w:val="multilevel"/>
    <w:tmpl w:val="FA26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A600D"/>
    <w:multiLevelType w:val="multilevel"/>
    <w:tmpl w:val="60A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F3A08"/>
    <w:multiLevelType w:val="multilevel"/>
    <w:tmpl w:val="2F00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111BD"/>
    <w:multiLevelType w:val="multilevel"/>
    <w:tmpl w:val="8AD0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2A2C88"/>
    <w:multiLevelType w:val="multilevel"/>
    <w:tmpl w:val="2E34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E61C1"/>
    <w:multiLevelType w:val="multilevel"/>
    <w:tmpl w:val="0272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B368D"/>
    <w:multiLevelType w:val="multilevel"/>
    <w:tmpl w:val="19A0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F1247"/>
    <w:multiLevelType w:val="multilevel"/>
    <w:tmpl w:val="B2C2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0378A"/>
    <w:multiLevelType w:val="multilevel"/>
    <w:tmpl w:val="C6DC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5F0F02"/>
    <w:multiLevelType w:val="multilevel"/>
    <w:tmpl w:val="F1AE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D6D4A"/>
    <w:multiLevelType w:val="multilevel"/>
    <w:tmpl w:val="0D94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A7277"/>
    <w:multiLevelType w:val="multilevel"/>
    <w:tmpl w:val="0290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4739A"/>
    <w:multiLevelType w:val="multilevel"/>
    <w:tmpl w:val="36A0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9934E8"/>
    <w:multiLevelType w:val="multilevel"/>
    <w:tmpl w:val="A8E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885C6B"/>
    <w:multiLevelType w:val="multilevel"/>
    <w:tmpl w:val="7D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A43DF"/>
    <w:multiLevelType w:val="multilevel"/>
    <w:tmpl w:val="270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EA088A"/>
    <w:multiLevelType w:val="multilevel"/>
    <w:tmpl w:val="B1C8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73319"/>
    <w:multiLevelType w:val="multilevel"/>
    <w:tmpl w:val="2B54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B843F7"/>
    <w:multiLevelType w:val="multilevel"/>
    <w:tmpl w:val="342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27D69"/>
    <w:multiLevelType w:val="multilevel"/>
    <w:tmpl w:val="E38E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287479"/>
    <w:multiLevelType w:val="multilevel"/>
    <w:tmpl w:val="3C7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C72231"/>
    <w:multiLevelType w:val="multilevel"/>
    <w:tmpl w:val="DFFC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CC51BA"/>
    <w:multiLevelType w:val="multilevel"/>
    <w:tmpl w:val="152C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B29E0"/>
    <w:multiLevelType w:val="multilevel"/>
    <w:tmpl w:val="728E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F60101"/>
    <w:multiLevelType w:val="multilevel"/>
    <w:tmpl w:val="528C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4E2A3E"/>
    <w:multiLevelType w:val="multilevel"/>
    <w:tmpl w:val="798A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D5589"/>
    <w:multiLevelType w:val="hybridMultilevel"/>
    <w:tmpl w:val="3ACCFD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EB5E50"/>
    <w:multiLevelType w:val="multilevel"/>
    <w:tmpl w:val="E49E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582583"/>
    <w:multiLevelType w:val="multilevel"/>
    <w:tmpl w:val="88A6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015A8B"/>
    <w:multiLevelType w:val="multilevel"/>
    <w:tmpl w:val="890E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A305D"/>
    <w:multiLevelType w:val="multilevel"/>
    <w:tmpl w:val="18BC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9B4311"/>
    <w:multiLevelType w:val="multilevel"/>
    <w:tmpl w:val="3898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D3373B"/>
    <w:multiLevelType w:val="multilevel"/>
    <w:tmpl w:val="2622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D5657"/>
    <w:multiLevelType w:val="multilevel"/>
    <w:tmpl w:val="3494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6815116">
    <w:abstractNumId w:val="25"/>
  </w:num>
  <w:num w:numId="2" w16cid:durableId="416560458">
    <w:abstractNumId w:val="5"/>
  </w:num>
  <w:num w:numId="3" w16cid:durableId="914632131">
    <w:abstractNumId w:val="27"/>
  </w:num>
  <w:num w:numId="4" w16cid:durableId="2141193067">
    <w:abstractNumId w:val="20"/>
  </w:num>
  <w:num w:numId="5" w16cid:durableId="211163278">
    <w:abstractNumId w:val="31"/>
  </w:num>
  <w:num w:numId="6" w16cid:durableId="1424572079">
    <w:abstractNumId w:val="17"/>
  </w:num>
  <w:num w:numId="7" w16cid:durableId="1910918975">
    <w:abstractNumId w:val="34"/>
  </w:num>
  <w:num w:numId="8" w16cid:durableId="964968693">
    <w:abstractNumId w:val="28"/>
  </w:num>
  <w:num w:numId="9" w16cid:durableId="1570653140">
    <w:abstractNumId w:val="1"/>
  </w:num>
  <w:num w:numId="10" w16cid:durableId="1172989048">
    <w:abstractNumId w:val="35"/>
  </w:num>
  <w:num w:numId="11" w16cid:durableId="565142112">
    <w:abstractNumId w:val="30"/>
  </w:num>
  <w:num w:numId="12" w16cid:durableId="496268263">
    <w:abstractNumId w:val="19"/>
  </w:num>
  <w:num w:numId="13" w16cid:durableId="219051700">
    <w:abstractNumId w:val="40"/>
  </w:num>
  <w:num w:numId="14" w16cid:durableId="1923559485">
    <w:abstractNumId w:val="13"/>
  </w:num>
  <w:num w:numId="15" w16cid:durableId="1186136581">
    <w:abstractNumId w:val="29"/>
  </w:num>
  <w:num w:numId="16" w16cid:durableId="53088628">
    <w:abstractNumId w:val="14"/>
  </w:num>
  <w:num w:numId="17" w16cid:durableId="1660569999">
    <w:abstractNumId w:val="18"/>
  </w:num>
  <w:num w:numId="18" w16cid:durableId="430317917">
    <w:abstractNumId w:val="16"/>
  </w:num>
  <w:num w:numId="19" w16cid:durableId="1075202419">
    <w:abstractNumId w:val="32"/>
  </w:num>
  <w:num w:numId="20" w16cid:durableId="1437825604">
    <w:abstractNumId w:val="8"/>
  </w:num>
  <w:num w:numId="21" w16cid:durableId="303119772">
    <w:abstractNumId w:val="21"/>
  </w:num>
  <w:num w:numId="22" w16cid:durableId="1542129098">
    <w:abstractNumId w:val="22"/>
  </w:num>
  <w:num w:numId="23" w16cid:durableId="1363361145">
    <w:abstractNumId w:val="3"/>
  </w:num>
  <w:num w:numId="24" w16cid:durableId="671686935">
    <w:abstractNumId w:val="33"/>
  </w:num>
  <w:num w:numId="25" w16cid:durableId="1543590220">
    <w:abstractNumId w:val="0"/>
  </w:num>
  <w:num w:numId="26" w16cid:durableId="1799032122">
    <w:abstractNumId w:val="36"/>
  </w:num>
  <w:num w:numId="27" w16cid:durableId="1246577313">
    <w:abstractNumId w:val="7"/>
  </w:num>
  <w:num w:numId="28" w16cid:durableId="523325732">
    <w:abstractNumId w:val="23"/>
  </w:num>
  <w:num w:numId="29" w16cid:durableId="1457020974">
    <w:abstractNumId w:val="4"/>
  </w:num>
  <w:num w:numId="30" w16cid:durableId="1411387123">
    <w:abstractNumId w:val="2"/>
  </w:num>
  <w:num w:numId="31" w16cid:durableId="1783257004">
    <w:abstractNumId w:val="38"/>
  </w:num>
  <w:num w:numId="32" w16cid:durableId="113253937">
    <w:abstractNumId w:val="11"/>
  </w:num>
  <w:num w:numId="33" w16cid:durableId="333268930">
    <w:abstractNumId w:val="39"/>
  </w:num>
  <w:num w:numId="34" w16cid:durableId="1499541173">
    <w:abstractNumId w:val="10"/>
  </w:num>
  <w:num w:numId="35" w16cid:durableId="2108504833">
    <w:abstractNumId w:val="12"/>
  </w:num>
  <w:num w:numId="36" w16cid:durableId="244649950">
    <w:abstractNumId w:val="26"/>
  </w:num>
  <w:num w:numId="37" w16cid:durableId="1447581775">
    <w:abstractNumId w:val="37"/>
  </w:num>
  <w:num w:numId="38" w16cid:durableId="1217544844">
    <w:abstractNumId w:val="6"/>
  </w:num>
  <w:num w:numId="39" w16cid:durableId="1622148653">
    <w:abstractNumId w:val="15"/>
  </w:num>
  <w:num w:numId="40" w16cid:durableId="2094545086">
    <w:abstractNumId w:val="24"/>
  </w:num>
  <w:num w:numId="41" w16cid:durableId="657999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FA"/>
    <w:rsid w:val="000366E8"/>
    <w:rsid w:val="00040995"/>
    <w:rsid w:val="00041909"/>
    <w:rsid w:val="0005748D"/>
    <w:rsid w:val="00090DE5"/>
    <w:rsid w:val="000C2573"/>
    <w:rsid w:val="0012408D"/>
    <w:rsid w:val="00152C4A"/>
    <w:rsid w:val="00190B0B"/>
    <w:rsid w:val="001D0C3A"/>
    <w:rsid w:val="002D111C"/>
    <w:rsid w:val="002E4A8E"/>
    <w:rsid w:val="00317DF8"/>
    <w:rsid w:val="0032737D"/>
    <w:rsid w:val="003648B4"/>
    <w:rsid w:val="00367CE5"/>
    <w:rsid w:val="00380D25"/>
    <w:rsid w:val="003C0297"/>
    <w:rsid w:val="003C1711"/>
    <w:rsid w:val="003F39E0"/>
    <w:rsid w:val="003F42B5"/>
    <w:rsid w:val="00404B78"/>
    <w:rsid w:val="004432EE"/>
    <w:rsid w:val="00621FEB"/>
    <w:rsid w:val="0069247D"/>
    <w:rsid w:val="006C681E"/>
    <w:rsid w:val="006E1AC0"/>
    <w:rsid w:val="007138B7"/>
    <w:rsid w:val="007F6A19"/>
    <w:rsid w:val="00804B13"/>
    <w:rsid w:val="00866C70"/>
    <w:rsid w:val="008F70A8"/>
    <w:rsid w:val="00940671"/>
    <w:rsid w:val="00973EAD"/>
    <w:rsid w:val="00974282"/>
    <w:rsid w:val="009D0FFA"/>
    <w:rsid w:val="00A34646"/>
    <w:rsid w:val="00A46A55"/>
    <w:rsid w:val="00AB3954"/>
    <w:rsid w:val="00AD1059"/>
    <w:rsid w:val="00B311F4"/>
    <w:rsid w:val="00B776B4"/>
    <w:rsid w:val="00BD06E7"/>
    <w:rsid w:val="00C23766"/>
    <w:rsid w:val="00D34BB4"/>
    <w:rsid w:val="00D56430"/>
    <w:rsid w:val="00D73522"/>
    <w:rsid w:val="00D86324"/>
    <w:rsid w:val="00E4486E"/>
    <w:rsid w:val="00E9133B"/>
    <w:rsid w:val="00EC5400"/>
    <w:rsid w:val="00F32C4B"/>
    <w:rsid w:val="00F41EE8"/>
    <w:rsid w:val="00F5091A"/>
    <w:rsid w:val="00F65F1A"/>
    <w:rsid w:val="00F71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85BD61"/>
  <w14:defaultImageDpi w14:val="32767"/>
  <w15:chartTrackingRefBased/>
  <w15:docId w15:val="{9AC33DDC-DF6A-4256-8232-39CD10E7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F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F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F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F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F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F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F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F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F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F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F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F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F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F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FFA"/>
    <w:rPr>
      <w:rFonts w:eastAsiaTheme="majorEastAsia" w:cstheme="majorBidi"/>
      <w:color w:val="272727" w:themeColor="text1" w:themeTint="D8"/>
    </w:rPr>
  </w:style>
  <w:style w:type="paragraph" w:styleId="Title">
    <w:name w:val="Title"/>
    <w:basedOn w:val="Normal"/>
    <w:next w:val="Normal"/>
    <w:link w:val="TitleChar"/>
    <w:uiPriority w:val="10"/>
    <w:qFormat/>
    <w:rsid w:val="009D0F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F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F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F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FFA"/>
    <w:pPr>
      <w:spacing w:before="160"/>
      <w:jc w:val="center"/>
    </w:pPr>
    <w:rPr>
      <w:i/>
      <w:iCs/>
      <w:color w:val="404040" w:themeColor="text1" w:themeTint="BF"/>
    </w:rPr>
  </w:style>
  <w:style w:type="character" w:customStyle="1" w:styleId="QuoteChar">
    <w:name w:val="Quote Char"/>
    <w:basedOn w:val="DefaultParagraphFont"/>
    <w:link w:val="Quote"/>
    <w:uiPriority w:val="29"/>
    <w:rsid w:val="009D0FFA"/>
    <w:rPr>
      <w:i/>
      <w:iCs/>
      <w:color w:val="404040" w:themeColor="text1" w:themeTint="BF"/>
    </w:rPr>
  </w:style>
  <w:style w:type="paragraph" w:styleId="ListParagraph">
    <w:name w:val="List Paragraph"/>
    <w:basedOn w:val="Normal"/>
    <w:uiPriority w:val="34"/>
    <w:qFormat/>
    <w:rsid w:val="009D0FFA"/>
    <w:pPr>
      <w:ind w:left="720"/>
      <w:contextualSpacing/>
    </w:pPr>
  </w:style>
  <w:style w:type="character" w:styleId="IntenseEmphasis">
    <w:name w:val="Intense Emphasis"/>
    <w:basedOn w:val="DefaultParagraphFont"/>
    <w:uiPriority w:val="21"/>
    <w:qFormat/>
    <w:rsid w:val="009D0FFA"/>
    <w:rPr>
      <w:i/>
      <w:iCs/>
      <w:color w:val="0F4761" w:themeColor="accent1" w:themeShade="BF"/>
    </w:rPr>
  </w:style>
  <w:style w:type="paragraph" w:styleId="IntenseQuote">
    <w:name w:val="Intense Quote"/>
    <w:basedOn w:val="Normal"/>
    <w:next w:val="Normal"/>
    <w:link w:val="IntenseQuoteChar"/>
    <w:uiPriority w:val="30"/>
    <w:qFormat/>
    <w:rsid w:val="009D0F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FFA"/>
    <w:rPr>
      <w:i/>
      <w:iCs/>
      <w:color w:val="0F4761" w:themeColor="accent1" w:themeShade="BF"/>
    </w:rPr>
  </w:style>
  <w:style w:type="character" w:styleId="IntenseReference">
    <w:name w:val="Intense Reference"/>
    <w:basedOn w:val="DefaultParagraphFont"/>
    <w:uiPriority w:val="32"/>
    <w:qFormat/>
    <w:rsid w:val="009D0FF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8667</Words>
  <Characters>49407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3</cp:revision>
  <cp:lastPrinted>2025-12-21T18:56:00Z</cp:lastPrinted>
  <dcterms:created xsi:type="dcterms:W3CDTF">2025-12-21T19:57:00Z</dcterms:created>
  <dcterms:modified xsi:type="dcterms:W3CDTF">2025-12-21T20:02:00Z</dcterms:modified>
</cp:coreProperties>
</file>