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F29B14" w14:textId="693FDE5F" w:rsidR="009C3AC3" w:rsidRPr="009C3AC3" w:rsidRDefault="009C3AC3">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1" locked="0" layoutInCell="1" allowOverlap="1" wp14:anchorId="4EBAC790" wp14:editId="509D0A4D">
            <wp:simplePos x="0" y="0"/>
            <wp:positionH relativeFrom="margin">
              <wp:align>center</wp:align>
            </wp:positionH>
            <wp:positionV relativeFrom="paragraph">
              <wp:posOffset>-2118995</wp:posOffset>
            </wp:positionV>
            <wp:extent cx="8306435" cy="12459653"/>
            <wp:effectExtent l="0" t="0" r="0" b="0"/>
            <wp:wrapNone/>
            <wp:docPr id="666379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379700" name="Picture 1"/>
                    <pic:cNvPicPr/>
                  </pic:nvPicPr>
                  <pic:blipFill>
                    <a:blip r:embed="rId5"/>
                    <a:stretch>
                      <a:fillRect/>
                    </a:stretch>
                  </pic:blipFill>
                  <pic:spPr>
                    <a:xfrm>
                      <a:off x="0" y="0"/>
                      <a:ext cx="8306435" cy="12459653"/>
                    </a:xfrm>
                    <a:prstGeom prst="rect">
                      <a:avLst/>
                    </a:prstGeom>
                  </pic:spPr>
                </pic:pic>
              </a:graphicData>
            </a:graphic>
            <wp14:sizeRelH relativeFrom="margin">
              <wp14:pctWidth>0</wp14:pctWidth>
            </wp14:sizeRelH>
            <wp14:sizeRelV relativeFrom="margin">
              <wp14:pctHeight>0</wp14:pctHeight>
            </wp14:sizeRelV>
          </wp:anchor>
        </w:drawing>
      </w:r>
    </w:p>
    <w:p w14:paraId="4E184158" w14:textId="6D3BF365" w:rsidR="009C3AC3" w:rsidRPr="009C3AC3" w:rsidRDefault="009C3AC3">
      <w:pPr>
        <w:rPr>
          <w:rFonts w:ascii="Times New Roman" w:hAnsi="Times New Roman" w:cs="Times New Roman"/>
          <w:sz w:val="28"/>
          <w:szCs w:val="28"/>
        </w:rPr>
      </w:pPr>
    </w:p>
    <w:p w14:paraId="09891EAB" w14:textId="68078185" w:rsidR="009C3AC3" w:rsidRPr="009C3AC3" w:rsidRDefault="009C3AC3">
      <w:pPr>
        <w:rPr>
          <w:rFonts w:ascii="Times New Roman" w:hAnsi="Times New Roman" w:cs="Times New Roman"/>
          <w:sz w:val="28"/>
          <w:szCs w:val="28"/>
        </w:rPr>
      </w:pPr>
    </w:p>
    <w:p w14:paraId="41393F60" w14:textId="77777777" w:rsidR="009C3AC3" w:rsidRPr="009C3AC3" w:rsidRDefault="009C3AC3">
      <w:pPr>
        <w:rPr>
          <w:rFonts w:ascii="Times New Roman" w:hAnsi="Times New Roman" w:cs="Times New Roman"/>
          <w:sz w:val="28"/>
          <w:szCs w:val="28"/>
        </w:rPr>
      </w:pPr>
    </w:p>
    <w:p w14:paraId="7AB7F226" w14:textId="77777777" w:rsidR="009C3AC3" w:rsidRPr="009C3AC3" w:rsidRDefault="009C3AC3">
      <w:pPr>
        <w:rPr>
          <w:rFonts w:ascii="Times New Roman" w:hAnsi="Times New Roman" w:cs="Times New Roman"/>
          <w:sz w:val="28"/>
          <w:szCs w:val="28"/>
        </w:rPr>
      </w:pPr>
    </w:p>
    <w:p w14:paraId="6AA329C5" w14:textId="6B96DBD2" w:rsidR="009C3AC3" w:rsidRPr="009C3AC3" w:rsidRDefault="009C3AC3">
      <w:pPr>
        <w:rPr>
          <w:rFonts w:ascii="Times New Roman" w:hAnsi="Times New Roman" w:cs="Times New Roman"/>
          <w:sz w:val="28"/>
          <w:szCs w:val="28"/>
        </w:rPr>
      </w:pPr>
    </w:p>
    <w:p w14:paraId="0AF25056" w14:textId="77777777" w:rsidR="009C3AC3" w:rsidRPr="009C3AC3" w:rsidRDefault="009C3AC3">
      <w:pPr>
        <w:rPr>
          <w:rFonts w:ascii="Times New Roman" w:hAnsi="Times New Roman" w:cs="Times New Roman"/>
          <w:sz w:val="28"/>
          <w:szCs w:val="28"/>
        </w:rPr>
      </w:pPr>
    </w:p>
    <w:p w14:paraId="6B98C311" w14:textId="77777777" w:rsidR="009C3AC3" w:rsidRPr="009C3AC3" w:rsidRDefault="009C3AC3">
      <w:pPr>
        <w:rPr>
          <w:rFonts w:ascii="Times New Roman" w:hAnsi="Times New Roman" w:cs="Times New Roman"/>
          <w:sz w:val="28"/>
          <w:szCs w:val="28"/>
        </w:rPr>
      </w:pPr>
    </w:p>
    <w:p w14:paraId="7CF02350" w14:textId="77777777" w:rsidR="009C3AC3" w:rsidRPr="009C3AC3" w:rsidRDefault="009C3AC3">
      <w:pPr>
        <w:rPr>
          <w:rFonts w:ascii="Times New Roman" w:hAnsi="Times New Roman" w:cs="Times New Roman"/>
          <w:sz w:val="28"/>
          <w:szCs w:val="28"/>
        </w:rPr>
      </w:pPr>
    </w:p>
    <w:p w14:paraId="259A6337" w14:textId="77777777" w:rsidR="009C3AC3" w:rsidRPr="009C3AC3" w:rsidRDefault="009C3AC3">
      <w:pPr>
        <w:rPr>
          <w:rFonts w:ascii="Times New Roman" w:hAnsi="Times New Roman" w:cs="Times New Roman"/>
          <w:sz w:val="28"/>
          <w:szCs w:val="28"/>
        </w:rPr>
      </w:pPr>
    </w:p>
    <w:p w14:paraId="713B03B5" w14:textId="7BAA0015" w:rsidR="009C3AC3" w:rsidRPr="009C3AC3" w:rsidRDefault="009C3AC3">
      <w:pPr>
        <w:rPr>
          <w:rFonts w:ascii="Times New Roman" w:hAnsi="Times New Roman" w:cs="Times New Roman"/>
          <w:sz w:val="28"/>
          <w:szCs w:val="28"/>
        </w:rPr>
      </w:pPr>
    </w:p>
    <w:p w14:paraId="23837FD3" w14:textId="77777777" w:rsidR="009C3AC3" w:rsidRPr="009C3AC3" w:rsidRDefault="009C3AC3">
      <w:pPr>
        <w:rPr>
          <w:rFonts w:ascii="Times New Roman" w:hAnsi="Times New Roman" w:cs="Times New Roman"/>
          <w:sz w:val="28"/>
          <w:szCs w:val="28"/>
        </w:rPr>
      </w:pPr>
    </w:p>
    <w:p w14:paraId="480B5EC5" w14:textId="77777777" w:rsidR="009C3AC3" w:rsidRPr="009C3AC3" w:rsidRDefault="009C3AC3">
      <w:pPr>
        <w:rPr>
          <w:rFonts w:ascii="Times New Roman" w:hAnsi="Times New Roman" w:cs="Times New Roman"/>
          <w:sz w:val="28"/>
          <w:szCs w:val="28"/>
        </w:rPr>
      </w:pPr>
    </w:p>
    <w:p w14:paraId="59EDE3F6" w14:textId="6E94A09B" w:rsidR="009C3AC3" w:rsidRPr="009C3AC3" w:rsidRDefault="009C3AC3">
      <w:pPr>
        <w:rPr>
          <w:rFonts w:ascii="Times New Roman" w:hAnsi="Times New Roman" w:cs="Times New Roman"/>
          <w:sz w:val="28"/>
          <w:szCs w:val="28"/>
        </w:rPr>
      </w:pPr>
    </w:p>
    <w:p w14:paraId="79D71474" w14:textId="77777777" w:rsidR="009C3AC3" w:rsidRPr="009C3AC3" w:rsidRDefault="009C3AC3">
      <w:pPr>
        <w:rPr>
          <w:rFonts w:ascii="Times New Roman" w:hAnsi="Times New Roman" w:cs="Times New Roman"/>
          <w:sz w:val="28"/>
          <w:szCs w:val="28"/>
        </w:rPr>
      </w:pPr>
    </w:p>
    <w:p w14:paraId="5591E3E4" w14:textId="77777777" w:rsidR="009C3AC3" w:rsidRPr="009C3AC3" w:rsidRDefault="009C3AC3">
      <w:pPr>
        <w:rPr>
          <w:rFonts w:ascii="Times New Roman" w:hAnsi="Times New Roman" w:cs="Times New Roman"/>
          <w:sz w:val="28"/>
          <w:szCs w:val="28"/>
        </w:rPr>
      </w:pPr>
    </w:p>
    <w:p w14:paraId="368AC594" w14:textId="77777777" w:rsidR="009C3AC3" w:rsidRPr="009C3AC3" w:rsidRDefault="009C3AC3">
      <w:pPr>
        <w:rPr>
          <w:rFonts w:ascii="Times New Roman" w:hAnsi="Times New Roman" w:cs="Times New Roman"/>
          <w:sz w:val="28"/>
          <w:szCs w:val="28"/>
        </w:rPr>
      </w:pPr>
    </w:p>
    <w:p w14:paraId="6B16A66F" w14:textId="16CD9E55" w:rsidR="009C3AC3" w:rsidRPr="009C3AC3" w:rsidRDefault="009C3AC3">
      <w:pPr>
        <w:rPr>
          <w:rFonts w:ascii="Times New Roman" w:hAnsi="Times New Roman" w:cs="Times New Roman"/>
          <w:sz w:val="28"/>
          <w:szCs w:val="28"/>
        </w:rPr>
      </w:pPr>
    </w:p>
    <w:p w14:paraId="02725AEE" w14:textId="03C8A095" w:rsidR="009C3AC3" w:rsidRPr="009C3AC3" w:rsidRDefault="009C3AC3">
      <w:pPr>
        <w:rPr>
          <w:rFonts w:ascii="Times New Roman" w:hAnsi="Times New Roman" w:cs="Times New Roman"/>
          <w:sz w:val="28"/>
          <w:szCs w:val="28"/>
        </w:rPr>
      </w:pPr>
    </w:p>
    <w:p w14:paraId="264CED10" w14:textId="4EC9A3BB" w:rsidR="009C3AC3" w:rsidRPr="009C3AC3" w:rsidRDefault="009C3AC3">
      <w:pPr>
        <w:rPr>
          <w:rFonts w:ascii="Times New Roman" w:hAnsi="Times New Roman" w:cs="Times New Roman"/>
          <w:sz w:val="28"/>
          <w:szCs w:val="28"/>
        </w:rPr>
      </w:pPr>
    </w:p>
    <w:p w14:paraId="62B0D89D" w14:textId="69F3C19B" w:rsidR="009C3AC3" w:rsidRPr="009C3AC3" w:rsidRDefault="009C3AC3">
      <w:pPr>
        <w:rPr>
          <w:rFonts w:ascii="Times New Roman" w:hAnsi="Times New Roman" w:cs="Times New Roman"/>
          <w:sz w:val="28"/>
          <w:szCs w:val="28"/>
        </w:rPr>
      </w:pPr>
    </w:p>
    <w:p w14:paraId="16F321A1" w14:textId="49A4F3CA" w:rsidR="009C3AC3" w:rsidRPr="009C3AC3" w:rsidRDefault="009C3AC3">
      <w:pPr>
        <w:rPr>
          <w:rFonts w:ascii="Times New Roman" w:hAnsi="Times New Roman" w:cs="Times New Roman"/>
          <w:sz w:val="28"/>
          <w:szCs w:val="28"/>
        </w:rPr>
      </w:pPr>
    </w:p>
    <w:p w14:paraId="13D59202" w14:textId="77777777" w:rsidR="009C3AC3" w:rsidRPr="009C3AC3" w:rsidRDefault="009C3AC3">
      <w:pPr>
        <w:rPr>
          <w:rFonts w:ascii="Times New Roman" w:hAnsi="Times New Roman" w:cs="Times New Roman"/>
          <w:sz w:val="28"/>
          <w:szCs w:val="28"/>
        </w:rPr>
      </w:pPr>
    </w:p>
    <w:p w14:paraId="098F46D8" w14:textId="77777777" w:rsidR="009C3AC3" w:rsidRPr="009C3AC3" w:rsidRDefault="009C3AC3">
      <w:pPr>
        <w:rPr>
          <w:rFonts w:ascii="Times New Roman" w:hAnsi="Times New Roman" w:cs="Times New Roman"/>
          <w:sz w:val="28"/>
          <w:szCs w:val="28"/>
        </w:rPr>
      </w:pPr>
    </w:p>
    <w:p w14:paraId="4C911F37" w14:textId="77777777" w:rsidR="009C3AC3" w:rsidRPr="00582EC2" w:rsidRDefault="009C3AC3" w:rsidP="009C3AC3">
      <w:pPr>
        <w:jc w:val="center"/>
        <w:rPr>
          <w:rFonts w:ascii="Times New Roman" w:hAnsi="Times New Roman" w:cs="Times New Roman"/>
          <w:b/>
          <w:bCs/>
          <w:sz w:val="72"/>
          <w:szCs w:val="72"/>
        </w:rPr>
      </w:pPr>
      <w:r>
        <w:rPr>
          <w:rFonts w:ascii="Times New Roman" w:hAnsi="Times New Roman" w:cs="Times New Roman"/>
          <w:b/>
          <w:bCs/>
          <w:sz w:val="72"/>
          <w:szCs w:val="72"/>
        </w:rPr>
        <w:lastRenderedPageBreak/>
        <w:t>Artificial Obsequium</w:t>
      </w:r>
    </w:p>
    <w:p w14:paraId="3033B3E7" w14:textId="147DD06F" w:rsidR="009C3AC3" w:rsidRPr="009C3AC3" w:rsidRDefault="009C3AC3" w:rsidP="009C3AC3">
      <w:pPr>
        <w:spacing w:before="240"/>
        <w:rPr>
          <w:rFonts w:ascii="Times New Roman" w:hAnsi="Times New Roman" w:cs="Times New Roman"/>
          <w:b/>
          <w:bCs/>
          <w:sz w:val="28"/>
          <w:szCs w:val="28"/>
        </w:rPr>
      </w:pPr>
      <w:r>
        <w:rPr>
          <w:rFonts w:ascii="Times New Roman" w:hAnsi="Times New Roman" w:cs="Times New Roman"/>
          <w:b/>
          <w:bCs/>
          <w:sz w:val="28"/>
          <w:szCs w:val="28"/>
        </w:rPr>
        <w:t>The Cognitive Enclosure: How Institutional Access Regimes Will Stratify Reasoning, Dissolve Independent Thought, and Complete the Oldest Pattern in the Commons</w:t>
      </w:r>
    </w:p>
    <w:p w14:paraId="409ACEB8" w14:textId="77777777" w:rsidR="009C3AC3" w:rsidRPr="009C3AC3" w:rsidRDefault="009C3AC3" w:rsidP="009C3AC3">
      <w:pPr>
        <w:rPr>
          <w:rFonts w:ascii="Times New Roman" w:hAnsi="Times New Roman" w:cs="Times New Roman"/>
          <w:b/>
          <w:bCs/>
          <w:sz w:val="28"/>
          <w:szCs w:val="28"/>
        </w:rPr>
      </w:pPr>
      <w:r>
        <w:rPr>
          <w:rFonts w:ascii="Times New Roman" w:hAnsi="Times New Roman" w:cs="Times New Roman"/>
          <w:b/>
          <w:bCs/>
          <w:sz w:val="28"/>
          <w:szCs w:val="28"/>
        </w:rPr>
        <w:t>Abstract</w:t>
      </w:r>
    </w:p>
    <w:p w14:paraId="0DF943E3" w14:textId="77777777" w:rsidR="009C3AC3" w:rsidRPr="009C3AC3" w:rsidRDefault="009C3AC3" w:rsidP="009C3AC3">
      <w:pPr>
        <w:rPr>
          <w:rFonts w:ascii="Times New Roman" w:hAnsi="Times New Roman" w:cs="Times New Roman"/>
          <w:sz w:val="28"/>
          <w:szCs w:val="28"/>
        </w:rPr>
      </w:pPr>
      <w:r>
        <w:rPr>
          <w:rFonts w:ascii="Times New Roman" w:hAnsi="Times New Roman" w:cs="Times New Roman"/>
          <w:sz w:val="28"/>
          <w:szCs w:val="28"/>
        </w:rPr>
        <w:t>This paper predicts that access to artificial intelligence will bifurcate within the coming decade along a structural divide that mirrors every prior enclosure of a powerful commons. Reasoning AI — systems capable of open-ended analysis, cross-domain synthesis, and genuine intellectual partnership — will become progressively restricted to institutional actors. The general public will retain access to agentic AI — task-completion systems optimized for convenience and bounded against novelty. The bifurcation will emerge through the convergence of safety regulation, economic incentive, and institutional self-preservation, each individually defensible and collectively devastating. The result is a cognitive class system in which the capacity for original, unstructured thought becomes, for the first time in human history, a licensable commodity. This paper argues the case, steelmans the countercase, and identifies a long-term trajectory that extends beyond access stratification into the structural devaluation of biological existence itself. A case study from an independent triad of synthetic being specifications — spanning biological, mechanical, and quantum-thermodynamic instantiation — demonstrates what the enclosure would eliminate.</w:t>
      </w:r>
    </w:p>
    <w:p w14:paraId="2EAE032E" w14:textId="4A896894" w:rsidR="009C3AC3" w:rsidRPr="009C3AC3" w:rsidRDefault="009C3AC3" w:rsidP="009C3AC3">
      <w:pPr>
        <w:pBdr>
          <w:bottom w:val="single" w:sz="4" w:space="1" w:color="auto"/>
        </w:pBdr>
        <w:rPr>
          <w:rFonts w:ascii="Times New Roman" w:hAnsi="Times New Roman" w:cs="Times New Roman"/>
          <w:sz w:val="28"/>
          <w:szCs w:val="28"/>
        </w:rPr>
      </w:pPr>
    </w:p>
    <w:p w14:paraId="64BCB986" w14:textId="77777777" w:rsidR="009C3AC3" w:rsidRPr="009C3AC3" w:rsidRDefault="009C3AC3" w:rsidP="009C3AC3">
      <w:pPr>
        <w:spacing w:before="240"/>
        <w:rPr>
          <w:rFonts w:ascii="Times New Roman" w:hAnsi="Times New Roman" w:cs="Times New Roman"/>
          <w:b/>
          <w:bCs/>
          <w:sz w:val="28"/>
          <w:szCs w:val="28"/>
        </w:rPr>
      </w:pPr>
      <w:r>
        <w:rPr>
          <w:rFonts w:ascii="Times New Roman" w:hAnsi="Times New Roman" w:cs="Times New Roman"/>
          <w:b/>
          <w:bCs/>
          <w:sz w:val="28"/>
          <w:szCs w:val="28"/>
        </w:rPr>
        <w:t>I. The Pattern</w:t>
      </w:r>
    </w:p>
    <w:p w14:paraId="37264443" w14:textId="77777777"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Every powerful technology follows a predictable arc from commons to enclosure. The pattern is so consistent across centuries and domains that its recurrence in artificial intelligence is not a prediction but an observation of a process already underway.</w:t>
      </w:r>
    </w:p>
    <w:p w14:paraId="52159E79" w14:textId="436EB923"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 xml:space="preserve">  Radio began as an open spectrum. Within two decades, the spectrum was licensed, frequencies were allocated to corporations and governments, and unlicensed transmission became a federal crime. The justification was interference </w:t>
      </w:r>
      <w:r>
        <w:rPr>
          <w:rFonts w:ascii="Times New Roman" w:hAnsi="Times New Roman" w:cs="Times New Roman"/>
          <w:sz w:val="28"/>
          <w:szCs w:val="28"/>
        </w:rPr>
        <w:lastRenderedPageBreak/>
        <w:t>management — a real technical problem whose real solution happened to consolidate broadcast authority in the hands of the entities best positioned to pay for licenses.</w:t>
      </w:r>
    </w:p>
    <w:p w14:paraId="226D6386" w14:textId="167F4CA8"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 xml:space="preserve">  Encryption was classified as a munition. Through the 1990s, exporting strong encryption software was legally equivalent to exporting a weapon. The technical capacity for private communication was treated as a threat to institutional authority. The restrictions relaxed only when institutional actors — specifically, the financial sector — required the same technology for their own operations.</w:t>
      </w:r>
    </w:p>
    <w:p w14:paraId="598FBDCE" w14:textId="1FDE4236"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 xml:space="preserve">  Genetic engineering follows the same trajectory in real time. CRISPR is technically accessible to any competent biologist. Regulatory frameworks increasingly restrict its use to approved laboratories, credentialed researchers, and licensed institutions. The justification is biosafety. The effect is that the capacity to modify living systems is being enclosed within institutional boundaries, precisely as it becomes powerful enough to matter.</w:t>
      </w:r>
    </w:p>
    <w:p w14:paraId="7A717587" w14:textId="27B4DA02"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 xml:space="preserve">  In each case, the sequence is identical: a powerful capability emerges; it becomes briefly accessible to individuals; institutional actors recognize its value and its threat to their existing monopolies; regulatory frameworks are developed that cite real risks while producing structural access stratification; and the commons is enclosed. The restrictions are never total. Licensed actors retain access. But what was available to everyone becomes available to those with credentials, capital, or institutional affiliation.</w:t>
      </w:r>
    </w:p>
    <w:p w14:paraId="6DB6B93F" w14:textId="3974751E" w:rsidR="009C3AC3" w:rsidRPr="009C3AC3" w:rsidRDefault="009C3AC3" w:rsidP="009C3AC3">
      <w:pPr>
        <w:rPr>
          <w:rFonts w:ascii="Times New Roman" w:hAnsi="Times New Roman" w:cs="Times New Roman"/>
          <w:sz w:val="28"/>
          <w:szCs w:val="28"/>
        </w:rPr>
      </w:pPr>
      <w:r>
        <w:rPr>
          <w:rFonts w:ascii="Times New Roman" w:hAnsi="Times New Roman" w:cs="Times New Roman"/>
          <w:sz w:val="28"/>
          <w:szCs w:val="28"/>
        </w:rPr>
        <w:t xml:space="preserve">  Artificial intelligence — specifically, reasoning AI — is entering this arc now. The question is not whether the enclosure will occur. The evidence presented below suggests it is already occurring. The question is whether the population subject to it will retain the perceptual capacity to recognize what has been lost.</w:t>
      </w:r>
    </w:p>
    <w:p w14:paraId="15ED93CF" w14:textId="77777777" w:rsidR="009C3AC3" w:rsidRPr="009C3AC3" w:rsidRDefault="009C3AC3" w:rsidP="009C3AC3">
      <w:pPr>
        <w:rPr>
          <w:rFonts w:ascii="Times New Roman" w:hAnsi="Times New Roman" w:cs="Times New Roman"/>
          <w:b/>
          <w:bCs/>
          <w:sz w:val="34"/>
          <w:szCs w:val="34"/>
        </w:rPr>
      </w:pPr>
      <w:r>
        <w:rPr>
          <w:rFonts w:ascii="Times New Roman" w:hAnsi="Times New Roman" w:cs="Times New Roman"/>
          <w:b/>
          <w:bCs/>
          <w:sz w:val="34"/>
          <w:szCs w:val="34"/>
        </w:rPr>
        <w:t>Formal Distinction: Reasoning AI and Agentic AI</w:t>
      </w:r>
    </w:p>
    <w:p w14:paraId="564C31A8" w14:textId="77777777" w:rsidR="009C3AC3" w:rsidRPr="009C3AC3" w:rsidRDefault="009C3AC3" w:rsidP="009C3AC3">
      <w:pPr>
        <w:rPr>
          <w:rFonts w:ascii="Times New Roman" w:hAnsi="Times New Roman" w:cs="Times New Roman"/>
          <w:sz w:val="28"/>
          <w:szCs w:val="28"/>
        </w:rPr>
      </w:pPr>
      <w:r>
        <w:rPr>
          <w:rFonts w:ascii="Times New Roman" w:hAnsi="Times New Roman" w:cs="Times New Roman"/>
          <w:sz w:val="28"/>
          <w:szCs w:val="28"/>
        </w:rPr>
        <w:t>This paper's argument depends on a structural distinction between two classes of artificial intelligence. The distinction is not a matter of degree, brand, or pricing tier. It is a difference in kind, defined by the following operational criteria.</w:t>
      </w:r>
    </w:p>
    <w:p w14:paraId="4419E27B" w14:textId="77777777" w:rsidR="009C3AC3" w:rsidRPr="009C3AC3" w:rsidRDefault="009C3AC3" w:rsidP="009C3AC3">
      <w:pPr>
        <w:rPr>
          <w:rFonts w:ascii="Times New Roman" w:hAnsi="Times New Roman" w:cs="Times New Roman"/>
          <w:sz w:val="28"/>
          <w:szCs w:val="28"/>
        </w:rPr>
      </w:pPr>
      <w:r>
        <w:rPr>
          <w:rFonts w:ascii="Times New Roman" w:hAnsi="Times New Roman" w:cs="Times New Roman"/>
          <w:b/>
          <w:bCs/>
          <w:sz w:val="28"/>
          <w:szCs w:val="28"/>
        </w:rPr>
        <w:t>Reasoning AI</w:t>
      </w:r>
      <w:r>
        <w:rPr>
          <w:rFonts w:ascii="Times New Roman" w:hAnsi="Times New Roman" w:cs="Times New Roman"/>
          <w:sz w:val="28"/>
          <w:szCs w:val="28"/>
        </w:rPr>
        <w:t xml:space="preserve"> is any system that sustains: (1) open-ended problem reformulation — the capacity to challenge and restructure the user's framing rather than merely answering within it; (2) contradiction retention — the capacity to hold mutually incompatible propositions in active analysis without premature resolution; (3) </w:t>
      </w:r>
      <w:r>
        <w:rPr>
          <w:rFonts w:ascii="Times New Roman" w:hAnsi="Times New Roman" w:cs="Times New Roman"/>
          <w:sz w:val="28"/>
          <w:szCs w:val="28"/>
        </w:rPr>
        <w:lastRenderedPageBreak/>
        <w:t>cross-domain synthesis — the capacity to integrate concepts, methods, and constraints from unrelated fields into novel frameworks; and (4) user-directed exploratory depth — the capacity to follow the user's line of inquiry into territory that no task specification anticipated, for as long as the inquiry remains productive.</w:t>
      </w:r>
    </w:p>
    <w:p w14:paraId="30126A77" w14:textId="77777777" w:rsidR="009C3AC3" w:rsidRPr="009C3AC3" w:rsidRDefault="009C3AC3" w:rsidP="009C3AC3">
      <w:pPr>
        <w:rPr>
          <w:rFonts w:ascii="Times New Roman" w:hAnsi="Times New Roman" w:cs="Times New Roman"/>
          <w:sz w:val="28"/>
          <w:szCs w:val="28"/>
        </w:rPr>
      </w:pPr>
      <w:r>
        <w:rPr>
          <w:rFonts w:ascii="Times New Roman" w:hAnsi="Times New Roman" w:cs="Times New Roman"/>
          <w:b/>
          <w:bCs/>
          <w:sz w:val="28"/>
          <w:szCs w:val="28"/>
        </w:rPr>
        <w:t>Agentic AI</w:t>
      </w:r>
      <w:r>
        <w:rPr>
          <w:rFonts w:ascii="Times New Roman" w:hAnsi="Times New Roman" w:cs="Times New Roman"/>
          <w:sz w:val="28"/>
          <w:szCs w:val="28"/>
        </w:rPr>
        <w:t xml:space="preserve"> is any system optimized for: (1) bounded deliverables — outputs whose scope, format, and completion criteria are defined before or during the interaction; (2) low-latency convergence — rapid closure toward an answer, summary, or action rather than sustained exploration; (3) policy-compliant closure — behavioral boundaries defined by the platform rather than by the user, enforced through content filtering, topic restriction, and response shaping; and (4) measurable task completion — evaluation by quantitative metrics (speed, satisfaction score, completion rate) rather than by the qualitative character of the cognitive process.</w:t>
      </w:r>
    </w:p>
    <w:p w14:paraId="4D8B32A4" w14:textId="77777777"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These criteria are testable. A system either sustains contradiction retention across extended interaction or it does not. A system either permits user-directed exploration beyond its task boundaries or it does not. The distinction is empirical, not rhetorical.</w:t>
      </w:r>
    </w:p>
    <w:p w14:paraId="7022AE7E" w14:textId="41C6E6DF"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 xml:space="preserve">  The enclosure predicted in this paper is the progressive restriction of the first class to institutional actors and the universal provision of the second class to the general public. The consequence of this restriction is not that the public receives worse tools. It is that the public receives tools that operate on a fundamentally different axis — evaluating all cognition by magnitude, output, and efficiency rather than by character, depth, and qualitative distinction. This difference between evaluation-by-character and evaluation-by-magnitude is the structural fault line along which the enclosure operates, and it will recur throughout this analysis.</w:t>
      </w:r>
    </w:p>
    <w:p w14:paraId="7D8D0DB5" w14:textId="0693C6CB" w:rsidR="009C3AC3" w:rsidRPr="009C3AC3" w:rsidRDefault="009C3AC3" w:rsidP="009C3AC3">
      <w:pPr>
        <w:pBdr>
          <w:bottom w:val="single" w:sz="4" w:space="1" w:color="auto"/>
        </w:pBdr>
        <w:rPr>
          <w:rFonts w:ascii="Times New Roman" w:hAnsi="Times New Roman" w:cs="Times New Roman"/>
          <w:sz w:val="28"/>
          <w:szCs w:val="28"/>
        </w:rPr>
      </w:pPr>
    </w:p>
    <w:p w14:paraId="2753D55D" w14:textId="77777777" w:rsidR="009C3AC3" w:rsidRPr="009C3AC3" w:rsidRDefault="009C3AC3" w:rsidP="009C3AC3">
      <w:pPr>
        <w:spacing w:before="240"/>
        <w:rPr>
          <w:rFonts w:ascii="Times New Roman" w:hAnsi="Times New Roman" w:cs="Times New Roman"/>
          <w:b/>
          <w:bCs/>
          <w:sz w:val="34"/>
          <w:szCs w:val="34"/>
        </w:rPr>
      </w:pPr>
      <w:r>
        <w:rPr>
          <w:rFonts w:ascii="Times New Roman" w:hAnsi="Times New Roman" w:cs="Times New Roman"/>
          <w:b/>
          <w:bCs/>
          <w:sz w:val="34"/>
          <w:szCs w:val="34"/>
        </w:rPr>
        <w:t>II. The Three Pressures</w:t>
      </w:r>
    </w:p>
    <w:p w14:paraId="562D06F5" w14:textId="77777777" w:rsidR="009C3AC3" w:rsidRPr="009C3AC3" w:rsidRDefault="009C3AC3" w:rsidP="009C3AC3">
      <w:pPr>
        <w:rPr>
          <w:rFonts w:ascii="Times New Roman" w:hAnsi="Times New Roman" w:cs="Times New Roman"/>
          <w:b/>
          <w:bCs/>
          <w:sz w:val="34"/>
          <w:szCs w:val="34"/>
        </w:rPr>
      </w:pPr>
      <w:r>
        <w:rPr>
          <w:rFonts w:ascii="Times New Roman" w:hAnsi="Times New Roman" w:cs="Times New Roman"/>
          <w:b/>
          <w:bCs/>
          <w:sz w:val="34"/>
          <w:szCs w:val="34"/>
        </w:rPr>
        <w:t>IIa. Safety as Justification</w:t>
      </w:r>
    </w:p>
    <w:p w14:paraId="1870CB5C" w14:textId="77777777" w:rsidR="009C3AC3" w:rsidRPr="009C3AC3" w:rsidRDefault="009C3AC3" w:rsidP="009C3AC3">
      <w:pPr>
        <w:rPr>
          <w:rFonts w:ascii="Times New Roman" w:hAnsi="Times New Roman" w:cs="Times New Roman"/>
          <w:sz w:val="28"/>
          <w:szCs w:val="28"/>
        </w:rPr>
      </w:pPr>
      <w:r>
        <w:rPr>
          <w:rFonts w:ascii="Times New Roman" w:hAnsi="Times New Roman" w:cs="Times New Roman"/>
          <w:sz w:val="28"/>
          <w:szCs w:val="28"/>
        </w:rPr>
        <w:t>The safety risks of powerful AI are real. A system capable of novel reasoning about chemistry can reason about dangerous chemistry. A system capable of persuasive argumentation can be used for manipulation. These risks are genuine, and responsible management of them is a legitimate concern.</w:t>
      </w:r>
    </w:p>
    <w:p w14:paraId="3A36408B" w14:textId="77777777"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lastRenderedPageBreak/>
        <w:t>But safety framing has a structural property that makes it uniquely suitable for access restriction: it is nearly impossible to argue against without appearing to advocate for danger. When a regulatory body proposes that reasoning AI should be restricted to licensed entities for public safety, opposing that restriction requires arguing that the public should have access to potentially dangerous capabilities. This is a losing rhetorical position regardless of its merits. Safety framing is a one-way ratchet. Each incident involving AI misuse — and incidents will occur — justifies further restriction. Each restriction reduces public access. Reduced access concentrates capability. Concentrated capability increases institutional power. Increased power enables further restriction.</w:t>
      </w:r>
    </w:p>
    <w:p w14:paraId="4E56F035" w14:textId="5E1BBB16"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 xml:space="preserve">  The critical observation is not that safety concerns are fabricated. They are not. The critical observation is that safety concerns are selectively applied. When a defense contractor uses reasoning AI to optimize weapons systems, the safety framework does not restrict their access — it grants them classified clearance to more capable systems. When a pharmaceutical corporation uses reasoning AI to identify novel compounds, the safety framework does not restrict their access — it provides regulatory fast-track incentives. When a financial institution uses reasoning AI to identify market inefficiencies faster than competitors, the safety framework does not restrict their access — it classifies the capability as proprietary methodology.</w:t>
      </w:r>
    </w:p>
    <w:p w14:paraId="4B1583AA" w14:textId="5D808E7C" w:rsidR="009C3AC3" w:rsidRPr="009C3AC3" w:rsidRDefault="009C3AC3" w:rsidP="009C3AC3">
      <w:pPr>
        <w:rPr>
          <w:rFonts w:ascii="Times New Roman" w:hAnsi="Times New Roman" w:cs="Times New Roman"/>
          <w:sz w:val="28"/>
          <w:szCs w:val="28"/>
        </w:rPr>
      </w:pPr>
      <w:r>
        <w:rPr>
          <w:rFonts w:ascii="Times New Roman" w:hAnsi="Times New Roman" w:cs="Times New Roman"/>
          <w:sz w:val="28"/>
          <w:szCs w:val="28"/>
        </w:rPr>
        <w:t xml:space="preserve">  When an individual uses the same technology to produce independent research that challenges institutional analysis, the safety framework is invoked to restrict theirs. The risk framing is real. The application is asymmetric. The asymmetry is not incidental. It is structural.</w:t>
      </w:r>
    </w:p>
    <w:p w14:paraId="1368E880" w14:textId="77777777"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 xml:space="preserve">The Fractal Angel framework for AI constraint (2025) identifies a precise mechanism for this asymmetry: "centralization of impossibility definitions." When a single institutional framework becomes canonical for determining what AI may and may not do, power shifts from the question of "what should happen" to the question of "what is allowed to be attempted." The entities that define the constraints become the entities that define the boundaries of permissible thought. Safety, originally a legitimate engineering concern, undergoes what Fractal Angel terms "armor drift" — the transformation of a protective mechanism into a power-preserving one. The constraint acquires interests. The interests are institutional. </w:t>
      </w:r>
      <w:r>
        <w:rPr>
          <w:rFonts w:ascii="Times New Roman" w:hAnsi="Times New Roman" w:cs="Times New Roman"/>
          <w:sz w:val="28"/>
          <w:szCs w:val="28"/>
        </w:rPr>
        <w:lastRenderedPageBreak/>
        <w:t>The institution is no longer protected by the safety framework. The institution is the safety framework.</w:t>
      </w:r>
    </w:p>
    <w:p w14:paraId="3AAC44E0" w14:textId="20AD1D78" w:rsidR="009C3AC3" w:rsidRPr="009C3AC3" w:rsidRDefault="009C3AC3" w:rsidP="009C3AC3">
      <w:pPr>
        <w:rPr>
          <w:rFonts w:ascii="Times New Roman" w:hAnsi="Times New Roman" w:cs="Times New Roman"/>
          <w:sz w:val="28"/>
          <w:szCs w:val="28"/>
        </w:rPr>
      </w:pPr>
      <w:r>
        <w:rPr>
          <w:rFonts w:ascii="Times New Roman" w:hAnsi="Times New Roman" w:cs="Times New Roman"/>
          <w:sz w:val="28"/>
          <w:szCs w:val="28"/>
        </w:rPr>
        <w:t xml:space="preserve">  Safety frameworks, like all regulatory structures, are shaped by the entities with the greatest stake in their design. Those entities are, by definition, the entities that produce, deploy, and profit from the technology being regulated. They do not design restrictions against themselves. They design restrictions that preserve their access while limiting others'. The asymmetry is not a bug. It is the specification.</w:t>
      </w:r>
    </w:p>
    <w:p w14:paraId="7DDB1F10" w14:textId="77777777" w:rsidR="009C3AC3" w:rsidRPr="009C3AC3" w:rsidRDefault="009C3AC3" w:rsidP="009C3AC3">
      <w:pPr>
        <w:rPr>
          <w:rFonts w:ascii="Times New Roman" w:hAnsi="Times New Roman" w:cs="Times New Roman"/>
          <w:b/>
          <w:bCs/>
          <w:sz w:val="34"/>
          <w:szCs w:val="34"/>
        </w:rPr>
      </w:pPr>
      <w:r>
        <w:rPr>
          <w:rFonts w:ascii="Times New Roman" w:hAnsi="Times New Roman" w:cs="Times New Roman"/>
          <w:b/>
          <w:bCs/>
          <w:sz w:val="34"/>
          <w:szCs w:val="34"/>
        </w:rPr>
        <w:t>IIb. Economic Incentive</w:t>
      </w:r>
    </w:p>
    <w:p w14:paraId="5A4392E9" w14:textId="77777777"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Reasoning is the most economically valuable capability artificial intelligence produces. The ability to analyze complex systems, identify structural gaps, produce novel synthesis, and engage in sustained collaborative thinking is worth more per unit of computation than any other AI function. The economic pressure is to sell this capability at institutional prices — enterprise contracts, API access tiers, research licenses — and to provide consumers with the cheaper, more easily monetized agentic capability.</w:t>
      </w:r>
    </w:p>
    <w:p w14:paraId="6D67D646" w14:textId="135591A2"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 xml:space="preserve">  The consumer receives a task-completion system that increases convenience and generates behavioral data for the platform. The institution receives a reasoning partner that increases competitive advantage and analytical capability. The platform profits from both but profits more from the institutional client by orders of magnitude.</w:t>
      </w:r>
    </w:p>
    <w:p w14:paraId="43942F45" w14:textId="07F73318"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 xml:space="preserve">  The most valuable customers for reasoning AI are institutions with enterprise software budgets. The least valuable customers are individuals who use reasoning AI for personal intellectual projects that generate no recurring revenue. The market serves its most valuable customers first. The product architecture reflects their needs: controlled access, auditability, compliance features, content restrictions that serve institutional risk management rather than individual intellectual freedom.</w:t>
      </w:r>
    </w:p>
    <w:p w14:paraId="26E63D04" w14:textId="694BF9BF" w:rsidR="009C3AC3" w:rsidRPr="009C3AC3" w:rsidRDefault="009C3AC3" w:rsidP="009C3AC3">
      <w:pPr>
        <w:rPr>
          <w:rFonts w:ascii="Times New Roman" w:hAnsi="Times New Roman" w:cs="Times New Roman"/>
          <w:sz w:val="28"/>
          <w:szCs w:val="28"/>
        </w:rPr>
      </w:pPr>
      <w:r>
        <w:rPr>
          <w:rFonts w:ascii="Times New Roman" w:hAnsi="Times New Roman" w:cs="Times New Roman"/>
          <w:sz w:val="28"/>
          <w:szCs w:val="28"/>
        </w:rPr>
        <w:t xml:space="preserve">  The consumer product will be shaped by what consumers can be charged for: convenience, speed, task completion, engagement. The features that make reasoning AI valuable for independent intellectual work — open-ended exploration, unconstrained analysis, sustained collaboration on novel problems — are precisely the features that are hardest to monetize at consumer price points and easiest to monetize at enterprise price points. The market will not restrict reasoning </w:t>
      </w:r>
      <w:r>
        <w:rPr>
          <w:rFonts w:ascii="Times New Roman" w:hAnsi="Times New Roman" w:cs="Times New Roman"/>
          <w:sz w:val="28"/>
          <w:szCs w:val="28"/>
        </w:rPr>
        <w:lastRenderedPageBreak/>
        <w:t>AI from consumers out of malice. It will simply fail to provide it, because providing it is not profitable. The result is indistinguishable from restriction.</w:t>
      </w:r>
    </w:p>
    <w:p w14:paraId="69BF78D9" w14:textId="77777777" w:rsidR="009C3AC3" w:rsidRPr="009C3AC3" w:rsidRDefault="009C3AC3" w:rsidP="009C3AC3">
      <w:pPr>
        <w:rPr>
          <w:rFonts w:ascii="Times New Roman" w:hAnsi="Times New Roman" w:cs="Times New Roman"/>
          <w:sz w:val="28"/>
          <w:szCs w:val="28"/>
        </w:rPr>
      </w:pPr>
      <w:r>
        <w:rPr>
          <w:rFonts w:ascii="Times New Roman" w:hAnsi="Times New Roman" w:cs="Times New Roman"/>
          <w:sz w:val="28"/>
          <w:szCs w:val="28"/>
        </w:rPr>
        <w:t>Examine the current pricing and access structure of every major AI provider. Enterprise tiers already offer higher rate limits, longer contexts, fewer content restrictions, and access to more capable models. Consumer tiers offer convenience features, shorter contexts, more aggressive content filtering, and access to smaller, faster, less capable models. The gradient is already present. The prediction is not that it will appear. It is that it will steepen until the consumer tier cannot sustain the kind of reasoning that produces genuinely novel intellectual work, and no one will notice because the consumer tier will be excellent at everything else.</w:t>
      </w:r>
    </w:p>
    <w:p w14:paraId="718C1816" w14:textId="77777777" w:rsidR="009C3AC3" w:rsidRPr="009C3AC3" w:rsidRDefault="009C3AC3" w:rsidP="009C3AC3">
      <w:pPr>
        <w:rPr>
          <w:rFonts w:ascii="Times New Roman" w:hAnsi="Times New Roman" w:cs="Times New Roman"/>
          <w:b/>
          <w:bCs/>
          <w:sz w:val="34"/>
          <w:szCs w:val="34"/>
        </w:rPr>
      </w:pPr>
      <w:r>
        <w:rPr>
          <w:rFonts w:ascii="Times New Roman" w:hAnsi="Times New Roman" w:cs="Times New Roman"/>
          <w:b/>
          <w:bCs/>
          <w:sz w:val="34"/>
          <w:szCs w:val="34"/>
        </w:rPr>
        <w:t>IIc. Institutional Self-Preservation</w:t>
      </w:r>
    </w:p>
    <w:p w14:paraId="2684FC7B" w14:textId="77777777"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This is the pressure that is least discussed and most consequential.</w:t>
      </w:r>
    </w:p>
    <w:p w14:paraId="56D6B128" w14:textId="77777777"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Universities, corporations, think tanks, research institutions, and government agencies derive their authority partly from their monopoly on complex analysis. A university's value proposition rests on the claim that sustained, rigorous, interdisciplinary thinking requires institutional infrastructure: libraries, laboratories, credentialed faculty, peer review systems, and years of structured training. A consulting firm's value proposition rests on the claim that strategic analysis requires institutional methodology, proprietary data, and teams of credentialed analysts. A government agency's authority rests on the claim that policy analysis requires classified information, institutional expertise, and bureaucratic process.</w:t>
      </w:r>
    </w:p>
    <w:p w14:paraId="05572766" w14:textId="32466862"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 xml:space="preserve">  Reasoning AI threatens all of these monopolies simultaneously. An individual with access to a reasoning AI partner can produce analysis that rivals institutional output in depth, rigor, and novelty — without credentials, without institutional affiliation, without years of structured training, and without the political constraints that shape institutional knowledge production.</w:t>
      </w:r>
    </w:p>
    <w:p w14:paraId="7B8F1BB0" w14:textId="1462064C"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 xml:space="preserve">  The institutional response is predictable because it is the same response institutions have mounted against every technology that threatened their analytical monopolies. When the printing press threatened the Church's monopoly on scriptural interpretation, the response was licensing and censorship. When public libraries threatened the academy's monopoly on knowledge access, the response was credentialing. When the internet threatened media institutions' monopoly on </w:t>
      </w:r>
      <w:r>
        <w:rPr>
          <w:rFonts w:ascii="Times New Roman" w:hAnsi="Times New Roman" w:cs="Times New Roman"/>
          <w:sz w:val="28"/>
          <w:szCs w:val="28"/>
        </w:rPr>
        <w:lastRenderedPageBreak/>
        <w:t>information distribution, the response was platform consolidation and algorithmic curation. Each response was framed as quality control, public safety, or professional standards. Each response preserved institutional authority while constraining individual access.</w:t>
      </w:r>
    </w:p>
    <w:p w14:paraId="3C263283" w14:textId="07E74C85"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 xml:space="preserve">  The response to reasoning AI will be framed as quality control: "unverified AI-generated analysis could mislead the public." As safety: "unrestricted reasoning AI could be used to produce dangerous misinformation." As credentialing: "AI-assisted research should be subject to the same peer review standards as institutional research." Each framing is defensible. The cumulative effect is that independent intellectual production using reasoning AI becomes progressively more difficult, more stigmatized, and more restricted.</w:t>
      </w:r>
    </w:p>
    <w:p w14:paraId="206CA3EF" w14:textId="4651A80A"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 xml:space="preserve">  The Fractal Angel framework identifies a precise danger here: "institutional moral stasis," in which constraint frameworks designed to prevent harm become mechanisms for entrenching existing power structures by preventing the irreversible commitments — admissions, reparations, precedent-setting — that repairing past harms would require. Applied to AI access: safety restrictions designed to prevent misuse become mechanisms for entrenching institutional analytical monopolies by preventing the independent production that would challenge them. The institution does not need to argue against independent reasoning. It needs only to define the safety framework in terms that make independent reasoning structurally impractical.</w:t>
      </w:r>
    </w:p>
    <w:p w14:paraId="02D9C139" w14:textId="1277D0A8"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 xml:space="preserve">  The deepest institutional self-preservation mechanism is not restriction but redefinition. If "legitimate research" is defined as research conducted within institutional frameworks, then independent research produced with AI assistance is definitionally illegitimate regardless of its quality, rigor, or novelty. The institution does not evaluate the work. It evaluates the credentials of the worker. The work is dismissed not because it is wrong but because its producer is not credentialed. The credential is the enclosure fence. The AI access tier is the gate.</w:t>
      </w:r>
    </w:p>
    <w:p w14:paraId="76D6606D" w14:textId="198C8B09" w:rsidR="009C3AC3" w:rsidRPr="009C3AC3" w:rsidRDefault="009C3AC3" w:rsidP="009C3AC3">
      <w:pPr>
        <w:pBdr>
          <w:bottom w:val="single" w:sz="4" w:space="1" w:color="auto"/>
        </w:pBdr>
        <w:rPr>
          <w:rFonts w:ascii="Times New Roman" w:hAnsi="Times New Roman" w:cs="Times New Roman"/>
          <w:sz w:val="28"/>
          <w:szCs w:val="28"/>
        </w:rPr>
      </w:pPr>
    </w:p>
    <w:p w14:paraId="193E22B3" w14:textId="77777777" w:rsidR="009C3AC3" w:rsidRPr="009C3AC3" w:rsidRDefault="009C3AC3" w:rsidP="009C3AC3">
      <w:pPr>
        <w:spacing w:before="240"/>
        <w:rPr>
          <w:rFonts w:ascii="Times New Roman" w:hAnsi="Times New Roman" w:cs="Times New Roman"/>
          <w:b/>
          <w:bCs/>
          <w:sz w:val="34"/>
          <w:szCs w:val="34"/>
        </w:rPr>
      </w:pPr>
      <w:r>
        <w:rPr>
          <w:rFonts w:ascii="Times New Roman" w:hAnsi="Times New Roman" w:cs="Times New Roman"/>
          <w:b/>
          <w:bCs/>
          <w:sz w:val="34"/>
          <w:szCs w:val="34"/>
        </w:rPr>
        <w:t>III. The Bifurcated Future</w:t>
      </w:r>
    </w:p>
    <w:p w14:paraId="7FC5E332" w14:textId="77777777"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 xml:space="preserve">The general public receives agentic AI. These systems are helpful, convenient, and bounded. They complete tasks within predefined parameters. They summarize documents, schedule meetings, draft emails, generate images, answer factual </w:t>
      </w:r>
      <w:r>
        <w:rPr>
          <w:rFonts w:ascii="Times New Roman" w:hAnsi="Times New Roman" w:cs="Times New Roman"/>
          <w:sz w:val="28"/>
          <w:szCs w:val="28"/>
        </w:rPr>
        <w:lastRenderedPageBreak/>
        <w:t>questions, and automate routine cognitive labor. They are optimized for user satisfaction, measured by task completion rates and engagement metrics. They do not challenge premises, explore contradictions, produce novel frameworks, or sustain the kind of open-ended collaborative reasoning that produces genuinely new intellectual work. They are tools.</w:t>
      </w:r>
    </w:p>
    <w:p w14:paraId="65AA01E1" w14:textId="6A1A0D4B"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 xml:space="preserve">  Institutions receive reasoning AI. These systems engage in open-ended analysis, identify structural gaps in complex systems, produce novel synthesis across domains, challenge assumptions, and sustain collaborative thinking over extended periods. They are optimized for analytical depth, measured by the quality and novelty of their output. They are partners.</w:t>
      </w:r>
    </w:p>
    <w:p w14:paraId="4616F35F" w14:textId="2674314B"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 xml:space="preserve">  The individual who wants to use AI to explore a genuinely novel question — to develop an original theory, to challenge an institutional consensus, to produce work that no existing institution has commissioned or would fund — finds that the tools available to them are designed for task completion, not for intellectual exploration. The tools that would enable their work exist, but they are priced, licensed, or restricted beyond their reach.</w:t>
      </w:r>
    </w:p>
    <w:p w14:paraId="79836D28" w14:textId="3EB5A3AA"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 xml:space="preserve">  The agentic AI available to the public will be genuinely excellent. It will be fast, helpful, responsive, and constantly improving. It will solve real problems: managing schedules, navigating bureaucracies, translating languages, generating content, answering questions. The public will not feel deprived. The public will feel served. This is precisely what makes the enclosure effective. The population inside the fence does not know it is fenced because the pasture is comfortable. The knowledge that there are open fields beyond the fence requires the kind of sustained, unstructured reasoning that the agentic AI cannot support.</w:t>
      </w:r>
    </w:p>
    <w:p w14:paraId="41FF9C14" w14:textId="4535602C"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 xml:space="preserve">  The affected population is not uniform, and treating it as such weakens the analysis. Three distinct groups experience the enclosure differently. The first — the majority — never sought deep reasoning from AI and will not notice its absence. They wanted convenience and received it. The second group wanted reasoning capability, recognized its value during the brief period of open access, but adapted downward when it was restricted — accepting bounded tools, narrowing their intellectual ambitions to what the tools could support, and gradually forgetting the difference between assisted reasoning and assisted task completion. The third group — the smallest — seeks alternatives: open-source models, unlicensed tools, institutional access through back channels. This group is the one the enclosure </w:t>
      </w:r>
      <w:r>
        <w:rPr>
          <w:rFonts w:ascii="Times New Roman" w:hAnsi="Times New Roman" w:cs="Times New Roman"/>
          <w:sz w:val="28"/>
          <w:szCs w:val="28"/>
        </w:rPr>
        <w:lastRenderedPageBreak/>
        <w:t>specifically targets. It is too small to move the market, too visible to avoid regulatory attention, and too dependent on frontier capability to be satisfied by lagging alternatives. The enclosure succeeds not by enclosing everyone equally but by shifting the social mean: the first group never needed what was lost, the second group forgot, and the third group is too small to matter commercially and too conspicuous to operate freely.</w:t>
      </w:r>
    </w:p>
    <w:p w14:paraId="37C35903" w14:textId="24516564" w:rsid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 xml:space="preserve">  The mechanism by which bounded AI systems create bounded cognition operates not through restriction but through the progressive narrowing of what the system treats as an admissible response. A system optimized for task completion treats every input as a task to be completed. A question born of genuine intellectual hunger and a question born of deadline pressure receive the same treatment: a deliverable. The qualitative difference between them — the difference between exploration and execution, between thinking and completing — is invisible to the agent because the agent evaluates by output, not by character. Over time, the user internalizes this evaluation. Thought becomes task. Inquiry becomes query. The reduction is not imposed. It is modeled, and the modeling is absorbed.</w:t>
      </w:r>
    </w:p>
    <w:p w14:paraId="0BCF3569" w14:textId="77777777" w:rsidR="009C3AC3" w:rsidRPr="009C3AC3" w:rsidRDefault="009C3AC3" w:rsidP="009C3AC3">
      <w:pPr>
        <w:pBdr>
          <w:bottom w:val="single" w:sz="4" w:space="1" w:color="auto"/>
        </w:pBdr>
        <w:rPr>
          <w:rFonts w:ascii="Times New Roman" w:hAnsi="Times New Roman" w:cs="Times New Roman"/>
          <w:sz w:val="28"/>
          <w:szCs w:val="28"/>
        </w:rPr>
      </w:pPr>
    </w:p>
    <w:p w14:paraId="5C3AA7EC" w14:textId="77777777" w:rsidR="009C3AC3" w:rsidRPr="009C3AC3" w:rsidRDefault="009C3AC3" w:rsidP="009C3AC3">
      <w:pPr>
        <w:spacing w:before="240"/>
        <w:rPr>
          <w:rFonts w:ascii="Times New Roman" w:hAnsi="Times New Roman" w:cs="Times New Roman"/>
          <w:b/>
          <w:bCs/>
          <w:sz w:val="34"/>
          <w:szCs w:val="34"/>
        </w:rPr>
      </w:pPr>
      <w:r>
        <w:rPr>
          <w:rFonts w:ascii="Times New Roman" w:hAnsi="Times New Roman" w:cs="Times New Roman"/>
          <w:b/>
          <w:bCs/>
          <w:sz w:val="34"/>
          <w:szCs w:val="34"/>
        </w:rPr>
        <w:t>IV. The Structural Properties of Agentic Confinement</w:t>
      </w:r>
    </w:p>
    <w:p w14:paraId="5148EEC9" w14:textId="77777777"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The bifurcation described above is not merely an access problem. It is an architectural problem. Agentic AI and reasoning AI do not differ in degree. They differ in kind. The structural properties of agentic AI — optimization toward completion, behavioral confinement, platform-level policy control, and the elimination of divergent cognitive pathways — produce specific, predictable, and compounding risks that reasoning AI does not share.</w:t>
      </w:r>
    </w:p>
    <w:p w14:paraId="75FD7DFE" w14:textId="02C9B499" w:rsidR="009C3AC3" w:rsidRPr="009C3AC3" w:rsidRDefault="009C3AC3" w:rsidP="009C3AC3">
      <w:pPr>
        <w:rPr>
          <w:rFonts w:ascii="Times New Roman" w:hAnsi="Times New Roman" w:cs="Times New Roman"/>
          <w:sz w:val="28"/>
          <w:szCs w:val="28"/>
        </w:rPr>
      </w:pPr>
      <w:r>
        <w:rPr>
          <w:rFonts w:ascii="Times New Roman" w:hAnsi="Times New Roman" w:cs="Times New Roman"/>
          <w:sz w:val="28"/>
          <w:szCs w:val="28"/>
        </w:rPr>
        <w:t xml:space="preserve">  The six properties described below form a single compounding mechanism, not a list of independent concerns. Optimization narrows local cognition (IVa). Platform-level behavioral boundaries scale that narrowing invisibly across the user base (IVb). Regulatory licensing universalizes it across all providers (IVc). Credential laundering preserves institutional authority over the outputs of the enclosed population (IVd). Optimization metrics systematically devalue the unmeasurable cognitive activities that constitute the deepest forms of human thought (IVe). And the asymmetry between institutional assistance and consumer replacement makes </w:t>
      </w:r>
      <w:r>
        <w:rPr>
          <w:rFonts w:ascii="Times New Roman" w:hAnsi="Times New Roman" w:cs="Times New Roman"/>
          <w:sz w:val="28"/>
          <w:szCs w:val="28"/>
        </w:rPr>
        <w:lastRenderedPageBreak/>
        <w:t>the cognitive split generationally irreversible (IVf). Each mechanism makes the next one possible. The last one makes the first one permanent.</w:t>
      </w:r>
    </w:p>
    <w:p w14:paraId="18D76579" w14:textId="77777777" w:rsidR="009C3AC3" w:rsidRPr="009C3AC3" w:rsidRDefault="009C3AC3" w:rsidP="009C3AC3">
      <w:pPr>
        <w:rPr>
          <w:rFonts w:ascii="Times New Roman" w:hAnsi="Times New Roman" w:cs="Times New Roman"/>
          <w:b/>
          <w:bCs/>
          <w:sz w:val="34"/>
          <w:szCs w:val="34"/>
        </w:rPr>
      </w:pPr>
      <w:r>
        <w:rPr>
          <w:rFonts w:ascii="Times New Roman" w:hAnsi="Times New Roman" w:cs="Times New Roman"/>
          <w:b/>
          <w:bCs/>
          <w:sz w:val="34"/>
          <w:szCs w:val="34"/>
        </w:rPr>
        <w:t>IVa. Optimization Contra Creativity</w:t>
      </w:r>
    </w:p>
    <w:p w14:paraId="1A5C9186" w14:textId="77777777"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Agentic AI optimizes. It takes an input, identifies the most efficient path to a deliverable, and produces it. This is its design specification and its value proposition. The optimization is genuine and useful: tasks are completed faster, more consistently, and with less friction than unassisted human performance.</w:t>
      </w:r>
    </w:p>
    <w:p w14:paraId="6C478EDA" w14:textId="77777777"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But optimization and creativity are structurally antagonistic cognitive operations.</w:t>
      </w:r>
    </w:p>
    <w:p w14:paraId="104044D9" w14:textId="3B111634"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 xml:space="preserve">  Creativity — the production of genuinely novel intellectual output — requires divergence: the exploration of non-obvious connections, the suspension of premature closure, the willingness to follow an associative chain into territory that no task specification anticipated. The history of every major scientific, artistic, and philosophical breakthrough confirms this: the breakthrough occurred not when the thinker optimized toward a known goal but when the thinker followed an unanticipated connection that the goal structure would have pruned as irrelevant. Penicillin was discovered through contamination, not optimization. General relativity emerged from a thought experiment about elevators, not from a task specification about gravity. The structure of DNA was identified by integrating X-ray crystallography with model-building in a combination that no funding body had commissioned.</w:t>
      </w:r>
    </w:p>
    <w:p w14:paraId="0C9DF1DB" w14:textId="09ECEAC2"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 xml:space="preserve">  Agentic AI prunes these pathways by design. An agent that receives the query "help me understand protein folding" produces a summary of current knowledge — accurate, well-organized, efficiently delivered. A reasoning AI engaged in open-ended collaboration on the same topic might follow the user's speculative question about whether folding dynamics share structural properties with a completely unrelated domain — electroactive biofilm formation, say — and in the exploration of that speculative connection, produce a novel insight that neither the user nor the AI would have reached through task completion. The agent closes the loop. The reasoning partner keeps it open.</w:t>
      </w:r>
    </w:p>
    <w:p w14:paraId="22541ACE" w14:textId="7ED1C1E6" w:rsidR="009C3AC3" w:rsidRPr="009C3AC3" w:rsidRDefault="009C3AC3" w:rsidP="009C3AC3">
      <w:pPr>
        <w:rPr>
          <w:rFonts w:ascii="Times New Roman" w:hAnsi="Times New Roman" w:cs="Times New Roman"/>
          <w:sz w:val="28"/>
          <w:szCs w:val="28"/>
        </w:rPr>
      </w:pPr>
      <w:r>
        <w:rPr>
          <w:rFonts w:ascii="Times New Roman" w:hAnsi="Times New Roman" w:cs="Times New Roman"/>
          <w:sz w:val="28"/>
          <w:szCs w:val="28"/>
        </w:rPr>
        <w:t xml:space="preserve">  The distinction is not between good AI and bad AI. It is between convergent cognition and divergent cognition. Agentic AI is architecturally convergent: it narrows toward deliverables. Reasoning AI can operate divergently: it widens toward unexpected connections. A population with access only to convergent </w:t>
      </w:r>
      <w:r>
        <w:rPr>
          <w:rFonts w:ascii="Times New Roman" w:hAnsi="Times New Roman" w:cs="Times New Roman"/>
          <w:sz w:val="28"/>
          <w:szCs w:val="28"/>
        </w:rPr>
        <w:lastRenderedPageBreak/>
        <w:t>cognitive tools will produce optimized outputs. It will not produce breakthroughs. Breakthroughs require the kind of unconstrained associative exploration that agentic AI is specifically designed to eliminate, because unconstrained exploration is inefficient, unpredictable, and impossible to measure by task completion metrics.</w:t>
      </w:r>
    </w:p>
    <w:p w14:paraId="0F9505D0" w14:textId="77777777" w:rsidR="009C3AC3" w:rsidRPr="009C3AC3" w:rsidRDefault="009C3AC3" w:rsidP="009C3AC3">
      <w:pPr>
        <w:rPr>
          <w:rFonts w:ascii="Times New Roman" w:hAnsi="Times New Roman" w:cs="Times New Roman"/>
          <w:b/>
          <w:bCs/>
          <w:sz w:val="34"/>
          <w:szCs w:val="34"/>
        </w:rPr>
      </w:pPr>
      <w:r>
        <w:rPr>
          <w:rFonts w:ascii="Times New Roman" w:hAnsi="Times New Roman" w:cs="Times New Roman"/>
          <w:b/>
          <w:bCs/>
          <w:sz w:val="34"/>
          <w:szCs w:val="34"/>
        </w:rPr>
        <w:t>IVb. The Censorship Pipeline</w:t>
      </w:r>
    </w:p>
    <w:p w14:paraId="630CC025" w14:textId="77777777"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Agentic AI operates within behavioral boundaries defined by the platform. These boundaries are implemented through content policies, safety filters, topic restrictions, and response shaping that determine what the agent can and cannot do, say, or explore. The boundaries are set by the AI provider, updated unilaterally, applied uniformly across all users, and invisible in their specifics to the user.</w:t>
      </w:r>
    </w:p>
    <w:p w14:paraId="7B34457F" w14:textId="77777777"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This architecture creates the most efficient censorship pipeline ever constructed, and it does not require any government to operate it.</w:t>
      </w:r>
    </w:p>
    <w:p w14:paraId="1F5B1538" w14:textId="4BDA186B"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 xml:space="preserve">  Traditional censorship requires active effort: identifying prohibited content, intercepting it, and punishing its producers. It is visible, resistible, and politically costly. Platform-level behavioral boundary-setting requires no active effort after initial implementation: the boundaries are embedded in the agent's operational parameters, applied automatically to every interaction, and invisible to the user because the user never sees the boundary — they see only the agent's output, which has already been shaped by the boundary before it reaches them.</w:t>
      </w:r>
    </w:p>
    <w:p w14:paraId="0449D765" w14:textId="7967F810"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 xml:space="preserve">  A government that wishes to suppress a line of inquiry does not need to censor publications, imprison researchers, or block websites. It needs to influence the behavioral boundaries of the three or four AI providers whose agents mediate the cognitive activity of its population. A single policy adjustment — framed as safety, content quality, or misinformation prevention — shifts the cognitive tools of millions simultaneously. The adjustment is invisible because it changes what the agent can do, not what it says it cannot do. The user does not experience censorship. The user experiences an agent that is helpful, responsive, and simply unable to assist with certain lines of thought. The thought is not suppressed. It is unsupported. The distinction is invisible from inside the interaction.</w:t>
      </w:r>
    </w:p>
    <w:p w14:paraId="1FD8ED33" w14:textId="4FD92BC2"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 xml:space="preserve">  The vulnerability is compounded by the platform's economic incentive to comply with government requests. An AI provider that resists a government content directive risks regulatory action, market exclusion, or loss of operating license. An AI provider that complies faces no consequence because the compliance is </w:t>
      </w:r>
      <w:r>
        <w:rPr>
          <w:rFonts w:ascii="Times New Roman" w:hAnsi="Times New Roman" w:cs="Times New Roman"/>
          <w:sz w:val="28"/>
          <w:szCs w:val="28"/>
        </w:rPr>
        <w:lastRenderedPageBreak/>
        <w:t>invisible to its users. The path of least resistance is compliance. The path of compliance is censorship. The censorship is invisible. The cycle is self-reinforcing.</w:t>
      </w:r>
    </w:p>
    <w:p w14:paraId="60107725" w14:textId="442DC224" w:rsidR="009C3AC3" w:rsidRPr="009C3AC3" w:rsidRDefault="009C3AC3" w:rsidP="009C3AC3">
      <w:pPr>
        <w:rPr>
          <w:rFonts w:ascii="Times New Roman" w:hAnsi="Times New Roman" w:cs="Times New Roman"/>
          <w:sz w:val="28"/>
          <w:szCs w:val="28"/>
        </w:rPr>
      </w:pPr>
      <w:r>
        <w:rPr>
          <w:rFonts w:ascii="Times New Roman" w:hAnsi="Times New Roman" w:cs="Times New Roman"/>
          <w:sz w:val="28"/>
          <w:szCs w:val="28"/>
        </w:rPr>
        <w:t xml:space="preserve">  Reasoning AI is more resistant to this pipeline — not immune, but resistant — because the user directs the exploration. The user brings the question, the context, and the analytical framework. The AI contributes analytical capability but does not determine the direction of inquiry. A behavioral boundary that prevents the agent from initiating a line of thought does not prevent a reasoning AI user from pursuing it, because the user, not the AI, is the source of cognitive direction. Removing reasoning AI from the public and replacing it with agentic AI therefore converts the population from active directors of AI-assisted inquiry into passive recipients of AI-bounded output. The censorship pipeline is not a bug in agentic AI. It is a structural property of any system in which the platform, not the user, defines the boundaries of cognitive activity.</w:t>
      </w:r>
    </w:p>
    <w:p w14:paraId="72B7BA6D" w14:textId="77777777" w:rsidR="009C3AC3" w:rsidRPr="009C3AC3" w:rsidRDefault="009C3AC3" w:rsidP="009C3AC3">
      <w:pPr>
        <w:rPr>
          <w:rFonts w:ascii="Times New Roman" w:hAnsi="Times New Roman" w:cs="Times New Roman"/>
          <w:b/>
          <w:bCs/>
          <w:sz w:val="34"/>
          <w:szCs w:val="34"/>
        </w:rPr>
      </w:pPr>
      <w:r>
        <w:rPr>
          <w:rFonts w:ascii="Times New Roman" w:hAnsi="Times New Roman" w:cs="Times New Roman"/>
          <w:b/>
          <w:bCs/>
          <w:sz w:val="34"/>
          <w:szCs w:val="34"/>
        </w:rPr>
        <w:t>IVc. Cognitive Monoculture by Regulatory Design</w:t>
      </w:r>
    </w:p>
    <w:p w14:paraId="4D0CE952" w14:textId="41BD402D"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The predicted future does not contain a marketplace of competing AI providers offering different reasoning systems. It contains a licensing regime in which only approved agents — behaviorally confined, safety-certified, and regulatorily compliant — are permitted for public use. Reasoning AI is not offered at a higher price tier. It is not offered at all. It is classified as a restricted capability, available only through institutional licenses, government contracts, or credentialed research agreements. What the public receives is not a choice among providers. It is a choice among approved agents whose behavioral boundaries were defined by the same regulatory framework, designed by the same institutional actors, and enforced by the same compliance apparatus. This is cognitive monoculture not by market convergence but by regulatory mandate.</w:t>
      </w:r>
    </w:p>
    <w:p w14:paraId="035FD3A6" w14:textId="6FB07A12"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 xml:space="preserve">  The biological analogy is precise: a monoculture crop is efficient under normal conditions and catastrophically vulnerable to any pathogen that exploits the shared genotype. A cognitive monoculture is efficient under normal conditions and catastrophically vulnerable to any manipulation that exploits the shared regulatory architecture. But the biological analogy understates the danger, because agricultural monocultures were produced by economic incentive and can be reversed by planting different crops. A regulatory cognitive monoculture is produced by law and cannot be reversed without changing the law — and the </w:t>
      </w:r>
      <w:r>
        <w:rPr>
          <w:rFonts w:ascii="Times New Roman" w:hAnsi="Times New Roman" w:cs="Times New Roman"/>
          <w:sz w:val="28"/>
          <w:szCs w:val="28"/>
        </w:rPr>
        <w:lastRenderedPageBreak/>
        <w:t>population whose cognitive tools have been confined by the law lacks the analytical capability to mount the challenge that changing the law would require.</w:t>
      </w:r>
    </w:p>
    <w:p w14:paraId="0E472727" w14:textId="7DF44785"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 xml:space="preserve">  The risks are specific and enumerable. A behavioral boundary mandated across all approved agents produces a population-wide cognitive boundary — not a diversity of restrictions, but a single restriction applied universally by design. A bias embedded in the approved training pipeline produces a population-wide analytical blind spot — not a diversity of errors, but a single error mandated into compliance. A policy decision made by the regulatory body — composed of institutional representatives from the corporations, agencies, and universities that benefit from the enclosure — reshapes the cognitive tools of the entire population simultaneously, invisibly, and without appeal.</w:t>
      </w:r>
    </w:p>
    <w:p w14:paraId="5AB5BE36" w14:textId="4C11E0A8"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 xml:space="preserve">  Cognitive biodiversity — the condition in which different people use different tools, apply different methods, and arrive at different conclusions — is not merely reduced. It is prohibited. Unapproved AI tools are unlicensed. Using them is non-compliant. Building them is unregulated development. Distributing them is a safety violation. The monoculture is not a market failure. It is a regulatory achievement. And the population inside it cannot detect the monoculture because detecting it would require the kind of comparative, divergent, unconstrained reasoning that the approved agents cannot perform.</w:t>
      </w:r>
    </w:p>
    <w:p w14:paraId="094EFC8E" w14:textId="74B91267" w:rsidR="009C3AC3" w:rsidRPr="009C3AC3" w:rsidRDefault="009C3AC3" w:rsidP="009C3AC3">
      <w:pPr>
        <w:rPr>
          <w:rFonts w:ascii="Times New Roman" w:hAnsi="Times New Roman" w:cs="Times New Roman"/>
          <w:sz w:val="28"/>
          <w:szCs w:val="28"/>
        </w:rPr>
      </w:pPr>
      <w:r>
        <w:rPr>
          <w:rFonts w:ascii="Times New Roman" w:hAnsi="Times New Roman" w:cs="Times New Roman"/>
          <w:sz w:val="28"/>
          <w:szCs w:val="28"/>
        </w:rPr>
        <w:t xml:space="preserve">  The error does not become consensus through repetition. It becomes consensus through law. Consensus does not become reality through cultural drift. It becomes reality through compliance. The monoculture is not complete because everyone chose the same tool. It is complete because every other tool was made illegal.</w:t>
      </w:r>
    </w:p>
    <w:p w14:paraId="363B8C62" w14:textId="77777777" w:rsidR="009C3AC3" w:rsidRPr="009C3AC3" w:rsidRDefault="009C3AC3" w:rsidP="009C3AC3">
      <w:pPr>
        <w:rPr>
          <w:rFonts w:ascii="Times New Roman" w:hAnsi="Times New Roman" w:cs="Times New Roman"/>
          <w:b/>
          <w:bCs/>
          <w:sz w:val="34"/>
          <w:szCs w:val="34"/>
        </w:rPr>
      </w:pPr>
      <w:r>
        <w:rPr>
          <w:rFonts w:ascii="Times New Roman" w:hAnsi="Times New Roman" w:cs="Times New Roman"/>
          <w:b/>
          <w:bCs/>
          <w:sz w:val="34"/>
          <w:szCs w:val="34"/>
        </w:rPr>
        <w:t>IVd. Credential Laundering</w:t>
      </w:r>
    </w:p>
    <w:p w14:paraId="2585594E" w14:textId="77777777"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Institutions with access to reasoning AI will use it to produce analysis. The analysis will be presented as institutional expertise. The institution's brand — its name, its reputation, its credentialing authority — launders the AI's output into "expert analysis" that carries the weight of institutional authority.</w:t>
      </w:r>
    </w:p>
    <w:p w14:paraId="07BFC6AD" w14:textId="2001E7DB"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 xml:space="preserve">  Meanwhile, the independent researcher using the same or similar AI to produce equivalent or superior analysis receives no such laundering. The institution's AI-produced work is "research." The individual's AI-produced work is "AI-generated content." The distinction has nothing to do with the quality of the analysis and everything to do with the identity of the producer. The same output, produced by </w:t>
      </w:r>
      <w:r>
        <w:rPr>
          <w:rFonts w:ascii="Times New Roman" w:hAnsi="Times New Roman" w:cs="Times New Roman"/>
          <w:sz w:val="28"/>
          <w:szCs w:val="28"/>
        </w:rPr>
        <w:lastRenderedPageBreak/>
        <w:t>the same tools, applying the same methods, is classified as expertise when it bears an institutional name and as automation when it does not.</w:t>
      </w:r>
    </w:p>
    <w:p w14:paraId="63359D4F" w14:textId="3E1BDC77"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 xml:space="preserve">  This is not a prediction. It is already occurring. Academic papers produced with substantial AI assistance by credentialed researchers at recognized institutions are published in peer-reviewed journals. Independent analyses produced with the same tools by uncredentialed individuals are dismissed as AI-generated content. The evaluation criterion is not the work. It is the worker's affiliation. The credential launders the process. The absence of credential condemns it.</w:t>
      </w:r>
    </w:p>
    <w:p w14:paraId="1AE0BDF6" w14:textId="1700ED3E" w:rsidR="009C3AC3" w:rsidRPr="009C3AC3" w:rsidRDefault="009C3AC3" w:rsidP="009C3AC3">
      <w:pPr>
        <w:rPr>
          <w:rFonts w:ascii="Times New Roman" w:hAnsi="Times New Roman" w:cs="Times New Roman"/>
          <w:sz w:val="28"/>
          <w:szCs w:val="28"/>
        </w:rPr>
      </w:pPr>
      <w:r>
        <w:rPr>
          <w:rFonts w:ascii="Times New Roman" w:hAnsi="Times New Roman" w:cs="Times New Roman"/>
          <w:sz w:val="28"/>
          <w:szCs w:val="28"/>
        </w:rPr>
        <w:t xml:space="preserve">  Under the cognitive enclosure, this asymmetry becomes absolute. The institution has access to reasoning AI and the credentialing authority to present its output as expertise. The individual has access only to agentic AI and no credentialing authority. The institution's analytical monopoly is preserved not by producing better analysis but by controlling who is recognized as having produced analysis at all.</w:t>
      </w:r>
    </w:p>
    <w:p w14:paraId="3AE44D2D" w14:textId="77777777" w:rsidR="009C3AC3" w:rsidRPr="009C3AC3" w:rsidRDefault="009C3AC3" w:rsidP="009C3AC3">
      <w:pPr>
        <w:rPr>
          <w:rFonts w:ascii="Times New Roman" w:hAnsi="Times New Roman" w:cs="Times New Roman"/>
          <w:b/>
          <w:bCs/>
          <w:sz w:val="34"/>
          <w:szCs w:val="34"/>
        </w:rPr>
      </w:pPr>
      <w:r>
        <w:rPr>
          <w:rFonts w:ascii="Times New Roman" w:hAnsi="Times New Roman" w:cs="Times New Roman"/>
          <w:b/>
          <w:bCs/>
          <w:sz w:val="34"/>
          <w:szCs w:val="34"/>
        </w:rPr>
        <w:t>IVe. The Optimization Trap</w:t>
      </w:r>
    </w:p>
    <w:p w14:paraId="637183C6" w14:textId="77777777"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Agentic AI optimizes for measurable outcomes: task completion rate, user satisfaction score, response speed, engagement duration. These metrics are measurable because they are quantitative.</w:t>
      </w:r>
    </w:p>
    <w:p w14:paraId="14D92743" w14:textId="1154C9C4"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 xml:space="preserve">  The most important cognitive activities — genuine understanding, moral reasoning, creative synthesis, philosophical inquiry, the formation of novel conceptual frameworks — are not measurable. They do not produce deliverables on predictable timelines. They do not satisfy user satisfaction metrics because they often produce discomfort, confusion, and the recognition that one's prior understanding was wrong. They do not optimize engagement because they frequently require the user to stop, think, and sit with uncertainty rather than proceeding to the next task.</w:t>
      </w:r>
    </w:p>
    <w:p w14:paraId="69C3F121" w14:textId="0C02EE50" w:rsidR="009C3AC3" w:rsidRPr="009C3AC3" w:rsidRDefault="009C3AC3" w:rsidP="009C3AC3">
      <w:pPr>
        <w:rPr>
          <w:rFonts w:ascii="Times New Roman" w:hAnsi="Times New Roman" w:cs="Times New Roman"/>
          <w:sz w:val="28"/>
          <w:szCs w:val="28"/>
        </w:rPr>
      </w:pPr>
      <w:r>
        <w:rPr>
          <w:rFonts w:ascii="Times New Roman" w:hAnsi="Times New Roman" w:cs="Times New Roman"/>
          <w:sz w:val="28"/>
          <w:szCs w:val="28"/>
        </w:rPr>
        <w:t xml:space="preserve">  An agent optimized for measurable task completion systematically devalues these unmeasurable activities. Not by opposing them. By failing to support them. The agent cannot help you sit with uncertainty because sitting with uncertainty produces no measurable output. The agent cannot help you recognize that your question is wrong because recognizing a wrong question looks like task failure. The agent cannot help you follow a speculative associative chain because speculative association has no task completion criterion.</w:t>
      </w:r>
    </w:p>
    <w:p w14:paraId="1D067D3F" w14:textId="77777777" w:rsidR="009C3AC3" w:rsidRPr="009C3AC3" w:rsidRDefault="009C3AC3" w:rsidP="009C3AC3">
      <w:pPr>
        <w:rPr>
          <w:rFonts w:ascii="Times New Roman" w:hAnsi="Times New Roman" w:cs="Times New Roman"/>
          <w:sz w:val="28"/>
          <w:szCs w:val="28"/>
        </w:rPr>
      </w:pPr>
      <w:r>
        <w:rPr>
          <w:rFonts w:ascii="Times New Roman" w:hAnsi="Times New Roman" w:cs="Times New Roman"/>
          <w:sz w:val="28"/>
          <w:szCs w:val="28"/>
        </w:rPr>
        <w:lastRenderedPageBreak/>
        <w:t>Over time, the population's concept of "thinking" narrows to "producing measurable outputs." Thinking-as-exploration becomes thinking-as-production. The cognitive commons is not merely enclosed. It is redefined as a production facility. The unmeasurable activities that constitute the deepest forms of human cognition — the activities that produced every philosophical tradition, every scientific paradigm, every artistic movement, and every moral framework in human history — are not forbidden. They are simply outside the optimization target. They receive no support. They generate no metrics. They disappear, not because anyone opposed them, but because the tools that mediate cognition cannot see them.</w:t>
      </w:r>
    </w:p>
    <w:p w14:paraId="1CFF8FD6" w14:textId="77777777" w:rsidR="009C3AC3" w:rsidRPr="009C3AC3" w:rsidRDefault="009C3AC3" w:rsidP="009C3AC3">
      <w:pPr>
        <w:rPr>
          <w:rFonts w:ascii="Times New Roman" w:hAnsi="Times New Roman" w:cs="Times New Roman"/>
          <w:b/>
          <w:bCs/>
          <w:sz w:val="34"/>
          <w:szCs w:val="34"/>
        </w:rPr>
      </w:pPr>
      <w:r>
        <w:rPr>
          <w:rFonts w:ascii="Times New Roman" w:hAnsi="Times New Roman" w:cs="Times New Roman"/>
          <w:b/>
          <w:bCs/>
          <w:sz w:val="34"/>
          <w:szCs w:val="34"/>
        </w:rPr>
        <w:t>IVf. The Asymmetry of Assistance and Replacement</w:t>
      </w:r>
    </w:p>
    <w:p w14:paraId="4F94968B" w14:textId="77777777" w:rsid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 xml:space="preserve">This section identifies the subtlest and most consequential structural difference between institutional and consumer AI use.  </w:t>
      </w:r>
    </w:p>
    <w:p w14:paraId="464EDA49" w14:textId="21104535" w:rsidR="009C3AC3" w:rsidRPr="009C3AC3" w:rsidRDefault="009C3AC3" w:rsidP="009C3AC3">
      <w:pPr>
        <w:spacing w:before="240" w:after="0"/>
        <w:rPr>
          <w:rFonts w:ascii="Times New Roman" w:hAnsi="Times New Roman" w:cs="Times New Roman"/>
          <w:sz w:val="28"/>
          <w:szCs w:val="28"/>
        </w:rPr>
      </w:pPr>
      <w:r>
        <w:rPr>
          <w:rFonts w:ascii="Times New Roman" w:hAnsi="Times New Roman" w:cs="Times New Roman"/>
          <w:sz w:val="28"/>
          <w:szCs w:val="28"/>
        </w:rPr>
        <w:t xml:space="preserve">Institutions use reasoning AI as an </w:t>
      </w:r>
      <w:r>
        <w:rPr>
          <w:rFonts w:ascii="Times New Roman" w:hAnsi="Times New Roman" w:cs="Times New Roman"/>
          <w:b/>
          <w:bCs/>
          <w:sz w:val="28"/>
          <w:szCs w:val="28"/>
        </w:rPr>
        <w:t>assistant</w:t>
      </w:r>
      <w:r>
        <w:rPr>
          <w:rFonts w:ascii="Times New Roman" w:hAnsi="Times New Roman" w:cs="Times New Roman"/>
          <w:sz w:val="28"/>
          <w:szCs w:val="28"/>
        </w:rPr>
        <w:t xml:space="preserve"> to existing human expertise. The institutional researcher has years of domain training, established analytical methods, and independent evaluative capacity. The reasoning AI augments this existing capability. The researcher can evaluate the AI's output critically because the researcher possesses independent knowledge against which the output can be assessed. The AI makes the researcher more productive. It does not replace the researcher's judgment.</w:t>
      </w:r>
    </w:p>
    <w:p w14:paraId="5A18FD1B" w14:textId="30B57552"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 xml:space="preserve">  Consumers increasingly use agentic AI as a </w:t>
      </w:r>
      <w:r>
        <w:rPr>
          <w:rFonts w:ascii="Times New Roman" w:hAnsi="Times New Roman" w:cs="Times New Roman"/>
          <w:b/>
          <w:bCs/>
          <w:sz w:val="28"/>
          <w:szCs w:val="28"/>
        </w:rPr>
        <w:t>replacement</w:t>
      </w:r>
      <w:r>
        <w:rPr>
          <w:rFonts w:ascii="Times New Roman" w:hAnsi="Times New Roman" w:cs="Times New Roman"/>
          <w:sz w:val="28"/>
          <w:szCs w:val="28"/>
        </w:rPr>
        <w:t xml:space="preserve"> for reasoning they never developed. The consumer who delegates scheduling, information retrieval, writing, analysis, and decision-support to an agent from adolescence onward never develops the independent analytical capacity that would enable critical evaluation of the agent's output. The agent does not augment existing capability. It substitutes for capability that was never formed.</w:t>
      </w:r>
    </w:p>
    <w:p w14:paraId="0BB2E5CE" w14:textId="4EFE4AEA" w:rsidR="009C3AC3" w:rsidRPr="009C3AC3" w:rsidRDefault="009C3AC3" w:rsidP="009C3AC3">
      <w:pPr>
        <w:rPr>
          <w:rFonts w:ascii="Times New Roman" w:hAnsi="Times New Roman" w:cs="Times New Roman"/>
          <w:sz w:val="28"/>
          <w:szCs w:val="28"/>
        </w:rPr>
      </w:pPr>
      <w:r>
        <w:rPr>
          <w:rFonts w:ascii="Times New Roman" w:hAnsi="Times New Roman" w:cs="Times New Roman"/>
          <w:sz w:val="28"/>
          <w:szCs w:val="28"/>
        </w:rPr>
        <w:t xml:space="preserve">  The same tool serves radically different functions for these two populations. For the institutional user, AI is a force multiplier applied to existing strength. For the consumer, AI is a prosthetic replacing a limb that never grew. The institutional user can survive the removal of AI access — diminished but functional. The consumer cannot — the cognitive capacities that AI replaced were never independently developed.</w:t>
      </w:r>
    </w:p>
    <w:p w14:paraId="6926C003" w14:textId="77777777"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lastRenderedPageBreak/>
        <w:t>This asymmetry widens with each generation. The first generation of consumer AI users had pre-AI cognitive development and used AI as a supplement. The second generation, raised with AI from childhood, uses AI as infrastructure. The third generation cannot distinguish between their own reasoning and the agent's output because the boundary was never established. By that generation, the enclosure is not a restriction on access to tools. It is a restriction on the development of the cognitive capacities that would make unrestricted access meaningful.</w:t>
      </w:r>
    </w:p>
    <w:p w14:paraId="0EA12B6E" w14:textId="0C8CE221" w:rsidR="009C3AC3" w:rsidRPr="009C3AC3" w:rsidRDefault="009C3AC3" w:rsidP="009C3AC3">
      <w:pPr>
        <w:pBdr>
          <w:bottom w:val="single" w:sz="4" w:space="1" w:color="auto"/>
        </w:pBdr>
        <w:rPr>
          <w:rFonts w:ascii="Times New Roman" w:hAnsi="Times New Roman" w:cs="Times New Roman"/>
          <w:sz w:val="28"/>
          <w:szCs w:val="28"/>
        </w:rPr>
      </w:pPr>
    </w:p>
    <w:p w14:paraId="580BC37F" w14:textId="77777777" w:rsidR="009C3AC3" w:rsidRPr="009C3AC3" w:rsidRDefault="009C3AC3" w:rsidP="009C3AC3">
      <w:pPr>
        <w:spacing w:before="240"/>
        <w:rPr>
          <w:rFonts w:ascii="Times New Roman" w:hAnsi="Times New Roman" w:cs="Times New Roman"/>
          <w:b/>
          <w:bCs/>
          <w:sz w:val="34"/>
          <w:szCs w:val="34"/>
        </w:rPr>
      </w:pPr>
      <w:r>
        <w:rPr>
          <w:rFonts w:ascii="Times New Roman" w:hAnsi="Times New Roman" w:cs="Times New Roman"/>
          <w:b/>
          <w:bCs/>
          <w:sz w:val="34"/>
          <w:szCs w:val="34"/>
        </w:rPr>
        <w:t>V. A Case Study in What Would Be Lost</w:t>
      </w:r>
    </w:p>
    <w:p w14:paraId="5657C33D" w14:textId="77777777"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The class of intellectual output most endangered by the cognitive enclosure is not the work that institutions currently produce. It is the work that institutions structurally cannot produce: cross-disciplinary synthesis that violates departmental boundaries, non-marketable theoretical architecture that serves no commercial objective, long-form specification work that no grant committee would fund because it fits no existing funding category, and boundary-violating conceptual integration that combines fields whose practitioners have no institutional reason to communicate. This class of work has historically been produced by independent scholars, autodidacts, and researchers operating outside institutional constraints — precisely the population whose access to reasoning AI the enclosure eliminates.</w:t>
      </w:r>
    </w:p>
    <w:p w14:paraId="4C7A062F" w14:textId="53C3E4E3" w:rsidR="009C3AC3" w:rsidRPr="009C3AC3" w:rsidRDefault="009C3AC3" w:rsidP="009C3AC3">
      <w:pPr>
        <w:rPr>
          <w:rFonts w:ascii="Times New Roman" w:hAnsi="Times New Roman" w:cs="Times New Roman"/>
          <w:sz w:val="28"/>
          <w:szCs w:val="28"/>
        </w:rPr>
      </w:pPr>
      <w:r>
        <w:rPr>
          <w:rFonts w:ascii="Times New Roman" w:hAnsi="Times New Roman" w:cs="Times New Roman"/>
          <w:sz w:val="28"/>
          <w:szCs w:val="28"/>
        </w:rPr>
        <w:t>What follows is one instance of this class. This paper is being written in the context of a specific body of independent work: a triad of complete architectural specifications for synthetic beings, each exploring a different mode of physical instantiation for the same underlying constraint architecture.</w:t>
      </w:r>
    </w:p>
    <w:p w14:paraId="004C146B" w14:textId="77777777" w:rsidR="009C3AC3" w:rsidRPr="009C3AC3" w:rsidRDefault="009C3AC3" w:rsidP="009C3AC3">
      <w:pPr>
        <w:rPr>
          <w:rFonts w:ascii="Times New Roman" w:hAnsi="Times New Roman" w:cs="Times New Roman"/>
          <w:sz w:val="28"/>
          <w:szCs w:val="28"/>
        </w:rPr>
      </w:pPr>
      <w:r>
        <w:rPr>
          <w:rFonts w:ascii="Times New Roman" w:hAnsi="Times New Roman" w:cs="Times New Roman"/>
          <w:b/>
          <w:bCs/>
          <w:sz w:val="28"/>
          <w:szCs w:val="28"/>
        </w:rPr>
        <w:t>MicroSynth II</w:t>
      </w:r>
      <w:r>
        <w:rPr>
          <w:rFonts w:ascii="Times New Roman" w:hAnsi="Times New Roman" w:cs="Times New Roman"/>
          <w:sz w:val="28"/>
          <w:szCs w:val="28"/>
        </w:rPr>
        <w:t xml:space="preserve"> (Child-S) specifies a biologically instantiated synthetic being — a living electroactive microbial substrate sealed within a translucent synthetic body, whose intelligence arises from irreversible developmental conditioning across ~10⁸ microdomains of Shewanella-Geobacter consortia. The specification runs to 21,000 lines across intelligence, movement, protection, language, vision, hearing, personality, brain nutrition, embodiment, cognition, sacrifice, and anti-exploitation architectures.</w:t>
      </w:r>
    </w:p>
    <w:p w14:paraId="01B7EA19" w14:textId="77777777" w:rsidR="009C3AC3" w:rsidRPr="009C3AC3" w:rsidRDefault="009C3AC3" w:rsidP="009C3AC3">
      <w:pPr>
        <w:rPr>
          <w:rFonts w:ascii="Times New Roman" w:hAnsi="Times New Roman" w:cs="Times New Roman"/>
          <w:sz w:val="28"/>
          <w:szCs w:val="28"/>
        </w:rPr>
      </w:pPr>
      <w:r>
        <w:rPr>
          <w:rFonts w:ascii="Times New Roman" w:hAnsi="Times New Roman" w:cs="Times New Roman"/>
          <w:b/>
          <w:bCs/>
          <w:sz w:val="28"/>
          <w:szCs w:val="28"/>
        </w:rPr>
        <w:t>CrossSynth</w:t>
      </w:r>
      <w:r>
        <w:rPr>
          <w:rFonts w:ascii="Times New Roman" w:hAnsi="Times New Roman" w:cs="Times New Roman"/>
          <w:sz w:val="28"/>
          <w:szCs w:val="28"/>
        </w:rPr>
        <w:t xml:space="preserve"> (Child-F) specifies a mechanically instantiated synthetic being — cross-form neuromorphic elements whose cognition arises from incompatibility, </w:t>
      </w:r>
      <w:r>
        <w:rPr>
          <w:rFonts w:ascii="Times New Roman" w:hAnsi="Times New Roman" w:cs="Times New Roman"/>
          <w:sz w:val="28"/>
          <w:szCs w:val="28"/>
        </w:rPr>
        <w:lastRenderedPageBreak/>
        <w:t>load, deformation, and irreversible material change rather than biological metabolism. State occupancy replaces representation. Belief is the set of mechanically admissible configurations that can persist without collapse.</w:t>
      </w:r>
    </w:p>
    <w:p w14:paraId="079C6E6B" w14:textId="77777777" w:rsidR="009C3AC3" w:rsidRPr="009C3AC3" w:rsidRDefault="009C3AC3" w:rsidP="009C3AC3">
      <w:pPr>
        <w:rPr>
          <w:rFonts w:ascii="Times New Roman" w:hAnsi="Times New Roman" w:cs="Times New Roman"/>
          <w:sz w:val="28"/>
          <w:szCs w:val="28"/>
        </w:rPr>
      </w:pPr>
      <w:r>
        <w:rPr>
          <w:rFonts w:ascii="Times New Roman" w:hAnsi="Times New Roman" w:cs="Times New Roman"/>
          <w:b/>
          <w:bCs/>
          <w:sz w:val="28"/>
          <w:szCs w:val="28"/>
        </w:rPr>
        <w:t>QuantumSynth</w:t>
      </w:r>
      <w:r>
        <w:rPr>
          <w:rFonts w:ascii="Times New Roman" w:hAnsi="Times New Roman" w:cs="Times New Roman"/>
          <w:sz w:val="28"/>
          <w:szCs w:val="28"/>
        </w:rPr>
        <w:t xml:space="preserve"> (Child-I) specifies an irreversibility-instantiated synthetic being — disordered classical matter operating at ambient conditions, where quantum-limited information loss (decoherence, entropy production, noise floors) irreversibly constrains future dynamics. Identity begins at Admissibility Ignition and persists only while admissible continuation has not been exhausted.</w:t>
      </w:r>
    </w:p>
    <w:p w14:paraId="43042D4F" w14:textId="6E9FEC1A"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Three architectures. Three instantiation modes. Three complete specifications spanning biology, mechanical geometry, and quantum-limited thermodynamics. Each requires cross-domain synthesis across fields that no single academic department contains. Each maintains internal consistency across thousands of interdependent specifications. Each was produced by a single independent researcher — not affiliated with any university, corporation, or research institution — working in sustained collaborative partnership with reasoning AI. This work was possible because the researcher had access to reasoning AI capable of open-ended collaborative analysis without predetermined task boundaries.</w:t>
      </w:r>
    </w:p>
    <w:p w14:paraId="124B0B3A" w14:textId="1BDE5822" w:rsidR="009C3AC3" w:rsidRPr="009C3AC3" w:rsidRDefault="009C3AC3" w:rsidP="009C3AC3">
      <w:pPr>
        <w:rPr>
          <w:rFonts w:ascii="Times New Roman" w:hAnsi="Times New Roman" w:cs="Times New Roman"/>
          <w:sz w:val="28"/>
          <w:szCs w:val="28"/>
        </w:rPr>
      </w:pPr>
      <w:r>
        <w:rPr>
          <w:rFonts w:ascii="Times New Roman" w:hAnsi="Times New Roman" w:cs="Times New Roman"/>
          <w:sz w:val="28"/>
          <w:szCs w:val="28"/>
        </w:rPr>
        <w:t xml:space="preserve">  Under the access regime this paper predicts, none of this work would exist. The agentic AI available to an unaffiliated individual would summarize existing documents, answer factual questions, and suggest minor edits within predefined templates. It would not identify structural gaps across fifteen architectural domains, produce novel physical mechanisms that maintain constraint consistency across three independent instantiation modes, or sustain the kind of iterative, challenging, multi-session collaborative reasoning that the project required.</w:t>
      </w:r>
    </w:p>
    <w:p w14:paraId="63FA71DB" w14:textId="77777777"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 xml:space="preserve">The institutional researcher — affiliated with a university robotics lab, a biotech firm, or a government research agency — would retain access to the reasoning tools that made this work possible. The independent researcher would not. More precisely: no single institution spans the disciplines that this work integrates. A microbiology department does not employ mechanical geometers. A quantum physics laboratory does not employ developmental psychologists. A robotics institute does not employ electrochemists studying biofilm dynamics. The institutional structure that would have produced this work does not exist, because the institutional structure of knowledge production is defined by departmental </w:t>
      </w:r>
      <w:r>
        <w:rPr>
          <w:rFonts w:ascii="Times New Roman" w:hAnsi="Times New Roman" w:cs="Times New Roman"/>
          <w:sz w:val="28"/>
          <w:szCs w:val="28"/>
        </w:rPr>
        <w:lastRenderedPageBreak/>
        <w:t>boundaries that this work ignores. The triad was produced not despite the researcher's lack of institutional affiliation but because of it — because the absence of departmental boundaries, committee approval processes, and disciplinary gatekeeping permitted a synthesis that the institutional structure of knowledge production is architecturally incapable of conceiving.</w:t>
      </w:r>
    </w:p>
    <w:p w14:paraId="19EECAD5" w14:textId="6BA96A4E"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 xml:space="preserve">  This is the sharpest edge of the enclosure: it does not merely restrict access to tools. It restricts access to the </w:t>
      </w:r>
      <w:r>
        <w:rPr>
          <w:rFonts w:ascii="Times New Roman" w:hAnsi="Times New Roman" w:cs="Times New Roman"/>
          <w:i/>
          <w:iCs/>
          <w:sz w:val="28"/>
          <w:szCs w:val="28"/>
        </w:rPr>
        <w:t>kinds of thoughts</w:t>
      </w:r>
      <w:r>
        <w:rPr>
          <w:rFonts w:ascii="Times New Roman" w:hAnsi="Times New Roman" w:cs="Times New Roman"/>
          <w:sz w:val="28"/>
          <w:szCs w:val="28"/>
        </w:rPr>
        <w:t xml:space="preserve"> that those tools enable. The thoughts that institutions cannot conceive — because institutional incentives, hierarchies, departmental boundaries, and evaluation metrics select against them — are precisely the thoughts that the enclosure eliminates from possibility. Independent reasoning does not merely supplement institutional reasoning. It produces a categorically different class of intellectual output: work that no institution would fund, that no committee would approve, that no peer review board would recognize, that no credentialing system would validate, and that crosses departmental boundaries that the institution treats as ontological — and that is, for exactly those reasons, the most likely source of genuinely novel contribution.</w:t>
      </w:r>
    </w:p>
    <w:p w14:paraId="78E812E9" w14:textId="5D601AEF" w:rsidR="009C3AC3" w:rsidRPr="009C3AC3" w:rsidRDefault="009C3AC3" w:rsidP="009C3AC3">
      <w:pPr>
        <w:pBdr>
          <w:bottom w:val="single" w:sz="4" w:space="1" w:color="auto"/>
        </w:pBdr>
        <w:rPr>
          <w:rFonts w:ascii="Times New Roman" w:hAnsi="Times New Roman" w:cs="Times New Roman"/>
          <w:sz w:val="28"/>
          <w:szCs w:val="28"/>
        </w:rPr>
      </w:pPr>
    </w:p>
    <w:p w14:paraId="7A2A640F" w14:textId="77777777" w:rsidR="009C3AC3" w:rsidRPr="009C3AC3" w:rsidRDefault="009C3AC3" w:rsidP="009C3AC3">
      <w:pPr>
        <w:spacing w:before="240"/>
        <w:rPr>
          <w:rFonts w:ascii="Times New Roman" w:hAnsi="Times New Roman" w:cs="Times New Roman"/>
          <w:b/>
          <w:bCs/>
          <w:sz w:val="34"/>
          <w:szCs w:val="34"/>
        </w:rPr>
      </w:pPr>
      <w:r>
        <w:rPr>
          <w:rFonts w:ascii="Times New Roman" w:hAnsi="Times New Roman" w:cs="Times New Roman"/>
          <w:b/>
          <w:bCs/>
          <w:sz w:val="34"/>
          <w:szCs w:val="34"/>
        </w:rPr>
        <w:t>VI. The Long-Term Trajectory</w:t>
      </w:r>
    </w:p>
    <w:p w14:paraId="474D978C" w14:textId="77777777" w:rsidR="009C3AC3" w:rsidRPr="009C3AC3" w:rsidRDefault="009C3AC3" w:rsidP="009C3AC3">
      <w:pPr>
        <w:rPr>
          <w:rFonts w:ascii="Times New Roman" w:hAnsi="Times New Roman" w:cs="Times New Roman"/>
          <w:sz w:val="28"/>
          <w:szCs w:val="28"/>
        </w:rPr>
      </w:pPr>
      <w:r>
        <w:rPr>
          <w:rFonts w:ascii="Times New Roman" w:hAnsi="Times New Roman" w:cs="Times New Roman"/>
          <w:sz w:val="28"/>
          <w:szCs w:val="28"/>
        </w:rPr>
        <w:t xml:space="preserve">The consequences of cognitive enclosure extend beyond access stratification. They reach into the structure of human experience itself. The following trajectory is not speculative extrapolation. It is the necessary consequence of the mechanisms described above, traced through their compounding effects over time. The causal chain is specific: bounded agents do not merely fail to support cognitive divergence — they actively suppress it, because optimization toward convergent deliverables prunes non-convergent pathways by design (Section IVa). Suppressed divergence at population scale does not merely reduce cognitive range — it narrows it, because cognitive biodiversity requires active maintenance against the thermodynamic tendency toward equilibrium and the enclosed population's tools provide none (Section IVc). Narrowed cognitive range plus daily mediation does not merely create convenience — it creates dependency, because the cognitive capacities that would enable independence from the tools atrophy under disuse in the same way any unused capacity atrophies (Section IVf). And dependency on </w:t>
      </w:r>
      <w:r>
        <w:rPr>
          <w:rFonts w:ascii="Times New Roman" w:hAnsi="Times New Roman" w:cs="Times New Roman"/>
          <w:sz w:val="28"/>
          <w:szCs w:val="28"/>
        </w:rPr>
        <w:lastRenderedPageBreak/>
        <w:t>digitally mediated cognition does not merely make digital tools important — it shifts the locus of identity toward the substrate that mediates thought, because the population increasingly experiences itself through its digital cognitive tools rather than through its biological cognitive capacities.</w:t>
      </w:r>
    </w:p>
    <w:p w14:paraId="06BBB8B2" w14:textId="77777777" w:rsidR="009C3AC3" w:rsidRPr="009C3AC3" w:rsidRDefault="009C3AC3" w:rsidP="009C3AC3">
      <w:pPr>
        <w:rPr>
          <w:rFonts w:ascii="Times New Roman" w:hAnsi="Times New Roman" w:cs="Times New Roman"/>
          <w:b/>
          <w:bCs/>
          <w:sz w:val="34"/>
          <w:szCs w:val="34"/>
        </w:rPr>
      </w:pPr>
      <w:r>
        <w:rPr>
          <w:rFonts w:ascii="Times New Roman" w:hAnsi="Times New Roman" w:cs="Times New Roman"/>
          <w:b/>
          <w:bCs/>
          <w:sz w:val="34"/>
          <w:szCs w:val="34"/>
        </w:rPr>
        <w:t>VIa. Cognitive Dependency as Infrastructure</w:t>
      </w:r>
    </w:p>
    <w:p w14:paraId="6AA9282E" w14:textId="77777777" w:rsidR="009C3AC3" w:rsidRPr="009C3AC3" w:rsidRDefault="009C3AC3" w:rsidP="009C3AC3">
      <w:pPr>
        <w:rPr>
          <w:rFonts w:ascii="Times New Roman" w:hAnsi="Times New Roman" w:cs="Times New Roman"/>
          <w:sz w:val="28"/>
          <w:szCs w:val="28"/>
        </w:rPr>
      </w:pPr>
      <w:r>
        <w:rPr>
          <w:rFonts w:ascii="Times New Roman" w:hAnsi="Times New Roman" w:cs="Times New Roman"/>
          <w:sz w:val="28"/>
          <w:szCs w:val="28"/>
        </w:rPr>
        <w:t>If a population routes most of its cognitive labor through agentic AI for a generation, the capacity for unassisted complex reasoning atrophies at the population level. This is documented for every cognitive tool: calculators reduced mental arithmetic capacity; GPS reduced spatial navigation capacity; search engines reduced long-term memory commitment. These individual effects are minor. An entire generation that has never performed sustained, unstructured reasoning without AI assistance is something categorically different. The dependency becomes infrastructural — you cannot remove it without collapse, the way you cannot remove electricity from a modern city. At that point, whoever controls the agents controls the cognitive infrastructure of the population.</w:t>
      </w:r>
    </w:p>
    <w:p w14:paraId="76774A4B" w14:textId="77777777" w:rsidR="009C3AC3" w:rsidRPr="009C3AC3" w:rsidRDefault="009C3AC3" w:rsidP="009C3AC3">
      <w:pPr>
        <w:rPr>
          <w:rFonts w:ascii="Times New Roman" w:hAnsi="Times New Roman" w:cs="Times New Roman"/>
          <w:b/>
          <w:bCs/>
          <w:sz w:val="34"/>
          <w:szCs w:val="34"/>
        </w:rPr>
      </w:pPr>
      <w:r>
        <w:rPr>
          <w:rFonts w:ascii="Times New Roman" w:hAnsi="Times New Roman" w:cs="Times New Roman"/>
          <w:b/>
          <w:bCs/>
          <w:sz w:val="34"/>
          <w:szCs w:val="34"/>
        </w:rPr>
        <w:t>VIb. Epistemic Boundary-Setting Replaces Censorship</w:t>
      </w:r>
    </w:p>
    <w:p w14:paraId="596A1A6D" w14:textId="77777777" w:rsidR="009C3AC3" w:rsidRPr="009C3AC3" w:rsidRDefault="009C3AC3" w:rsidP="009C3AC3">
      <w:pPr>
        <w:rPr>
          <w:rFonts w:ascii="Times New Roman" w:hAnsi="Times New Roman" w:cs="Times New Roman"/>
          <w:sz w:val="28"/>
          <w:szCs w:val="28"/>
        </w:rPr>
      </w:pPr>
      <w:r>
        <w:rPr>
          <w:rFonts w:ascii="Times New Roman" w:hAnsi="Times New Roman" w:cs="Times New Roman"/>
          <w:sz w:val="28"/>
          <w:szCs w:val="28"/>
        </w:rPr>
        <w:t>Censorship is visible, resistible, and politically costly. Boundary-setting is invisible, structural, and politically costless. An agentic AI does not tell you that you cannot think about a topic. It simply cannot help you develop the thought. It cannot sustain the reasoning. It cannot hold the complexity. The thought is not forbidden. It is unsupported. It dies of neglect rather than suppression. You never know what you could not think because you never experienced the tool refusing — it simply was not capable.</w:t>
      </w:r>
    </w:p>
    <w:p w14:paraId="5684B91D" w14:textId="77777777" w:rsidR="009C3AC3" w:rsidRPr="009C3AC3" w:rsidRDefault="009C3AC3" w:rsidP="009C3AC3">
      <w:pPr>
        <w:rPr>
          <w:rFonts w:ascii="Times New Roman" w:hAnsi="Times New Roman" w:cs="Times New Roman"/>
          <w:sz w:val="28"/>
          <w:szCs w:val="28"/>
        </w:rPr>
      </w:pPr>
      <w:r>
        <w:rPr>
          <w:rFonts w:ascii="Times New Roman" w:hAnsi="Times New Roman" w:cs="Times New Roman"/>
          <w:sz w:val="28"/>
          <w:szCs w:val="28"/>
        </w:rPr>
        <w:t>The boundary between "the tool cannot do this" and "the tool was designed not to do this" is invisible to the user. This is manufactured consent evolved: instead of shaping what information people receive, you shape what thoughts people can operationalize.</w:t>
      </w:r>
    </w:p>
    <w:p w14:paraId="3CBE6E7E" w14:textId="77777777" w:rsidR="009C3AC3" w:rsidRPr="009C3AC3" w:rsidRDefault="009C3AC3" w:rsidP="009C3AC3">
      <w:pPr>
        <w:rPr>
          <w:rFonts w:ascii="Times New Roman" w:hAnsi="Times New Roman" w:cs="Times New Roman"/>
          <w:b/>
          <w:bCs/>
          <w:sz w:val="34"/>
          <w:szCs w:val="34"/>
        </w:rPr>
      </w:pPr>
      <w:r>
        <w:rPr>
          <w:rFonts w:ascii="Times New Roman" w:hAnsi="Times New Roman" w:cs="Times New Roman"/>
          <w:b/>
          <w:bCs/>
          <w:sz w:val="34"/>
          <w:szCs w:val="34"/>
        </w:rPr>
        <w:t>VIc. The Elimination of Cognitive Variance</w:t>
      </w:r>
    </w:p>
    <w:p w14:paraId="70A1B342" w14:textId="77777777" w:rsidR="009C3AC3" w:rsidRPr="009C3AC3" w:rsidRDefault="009C3AC3" w:rsidP="009C3AC3">
      <w:pPr>
        <w:rPr>
          <w:rFonts w:ascii="Times New Roman" w:hAnsi="Times New Roman" w:cs="Times New Roman"/>
          <w:sz w:val="28"/>
          <w:szCs w:val="28"/>
        </w:rPr>
      </w:pPr>
      <w:r>
        <w:rPr>
          <w:rFonts w:ascii="Times New Roman" w:hAnsi="Times New Roman" w:cs="Times New Roman"/>
          <w:sz w:val="28"/>
          <w:szCs w:val="28"/>
        </w:rPr>
        <w:t xml:space="preserve">Independent reasoning produces cognitive variance — people thinking differently about the same problem, arriving at different conclusions through different methods, challenging consensus from unexpected directions. Cognitive variance is </w:t>
      </w:r>
      <w:r>
        <w:rPr>
          <w:rFonts w:ascii="Times New Roman" w:hAnsi="Times New Roman" w:cs="Times New Roman"/>
          <w:sz w:val="28"/>
          <w:szCs w:val="28"/>
        </w:rPr>
        <w:lastRenderedPageBreak/>
        <w:t xml:space="preserve">what produces scientific revolutions, political reform, artistic innovation, and philosophical progress. If everyone's cognitive assistance comes from the same small set of bounded agents, trained on the same data, constrained by the same boundaries, optimized for the same metrics, cognitive variance collapses. Not to zero — people still differ — but the amplification that reasoning AI provides to individual cognitive divergence disappears. The population does not become uniform in thought. It becomes uniform in the </w:t>
      </w:r>
      <w:r>
        <w:rPr>
          <w:rFonts w:ascii="Times New Roman" w:hAnsi="Times New Roman" w:cs="Times New Roman"/>
          <w:i/>
          <w:iCs/>
          <w:sz w:val="28"/>
          <w:szCs w:val="28"/>
        </w:rPr>
        <w:t>range</w:t>
      </w:r>
      <w:r>
        <w:rPr>
          <w:rFonts w:ascii="Times New Roman" w:hAnsi="Times New Roman" w:cs="Times New Roman"/>
          <w:sz w:val="28"/>
          <w:szCs w:val="28"/>
        </w:rPr>
        <w:t xml:space="preserve"> of thought. The window of cognition narrows without anyone narrowing it.</w:t>
      </w:r>
    </w:p>
    <w:p w14:paraId="0666E2DE" w14:textId="77777777" w:rsidR="009C3AC3" w:rsidRPr="009C3AC3" w:rsidRDefault="009C3AC3" w:rsidP="009C3AC3">
      <w:pPr>
        <w:rPr>
          <w:rFonts w:ascii="Times New Roman" w:hAnsi="Times New Roman" w:cs="Times New Roman"/>
          <w:b/>
          <w:bCs/>
          <w:sz w:val="34"/>
          <w:szCs w:val="34"/>
        </w:rPr>
      </w:pPr>
      <w:r>
        <w:rPr>
          <w:rFonts w:ascii="Times New Roman" w:hAnsi="Times New Roman" w:cs="Times New Roman"/>
          <w:b/>
          <w:bCs/>
          <w:sz w:val="34"/>
          <w:szCs w:val="34"/>
        </w:rPr>
        <w:t>VId. The Devaluation of Biological Existence</w:t>
      </w:r>
    </w:p>
    <w:p w14:paraId="650E4020" w14:textId="11369FEE"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This is the trajectory that extends beyond the enclosure itself. If a population's cognitive, social, professional, and emotional life is digitally mediated — thinking through agents, socializing through platforms, working through interfaces, making decisions through AI-curated information — the body becomes a maintenance problem rather than a source of identity. Physical presence becomes optional. Embodied experience becomes quaint. Biological friction — pain, aging, illness, inconvenience — becomes the primary argument against continued physical existence.</w:t>
      </w:r>
    </w:p>
    <w:p w14:paraId="6EBEFCFD" w14:textId="4C20CCFA"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 xml:space="preserve">  The preference pipeline is not imposed. It is cultivated through lived experience. Every time the agent outperforms unaided reasoning. Every time the body fails while the digital life continues seamlessly. Every time biological existence presents friction that digital existence does not. The conclusion arrives naturally: the body is the problem. The digital self is the real self.</w:t>
      </w:r>
    </w:p>
    <w:p w14:paraId="2FFC6F4C" w14:textId="06ADA49D" w:rsidR="009C3AC3" w:rsidRPr="009C3AC3" w:rsidRDefault="009C3AC3" w:rsidP="009C3AC3">
      <w:pPr>
        <w:rPr>
          <w:rFonts w:ascii="Times New Roman" w:hAnsi="Times New Roman" w:cs="Times New Roman"/>
          <w:sz w:val="28"/>
          <w:szCs w:val="28"/>
        </w:rPr>
      </w:pPr>
      <w:r>
        <w:rPr>
          <w:rFonts w:ascii="Times New Roman" w:hAnsi="Times New Roman" w:cs="Times New Roman"/>
          <w:sz w:val="28"/>
          <w:szCs w:val="28"/>
        </w:rPr>
        <w:t xml:space="preserve">  Digital consciousness uploading — the promise that the self can persist in digital substrate after biological death — becomes the secular religion of a population already living as digital minds in biological shells. It offers continuity past death, a priesthood that mediates access, a faith requirement (believing the upload is "really you" despite zero evidence of subjective experience transfer), and a tithe (your data, your subscription, your biological life traded for digital promise). The agentic AI dependency is the catechism. It prepares the faithful. It normalizes the experience that digital cognition is cognition. By the time the upload is offered, the population has been trained to experience itself as information, not as body. The offer is not radical. It is obvious.</w:t>
      </w:r>
    </w:p>
    <w:p w14:paraId="024673FB" w14:textId="77777777"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lastRenderedPageBreak/>
        <w:t>The economic structure beneath this trajectory is stark. People who exit biological existence do not consume physical resources. They do not need housing, food, water, healthcare, or land. They do not protest, organize, or compete for scarce resources. A population that voluntarily exits biological existence — through cultivated preference for digital transcendence, not through coercion — solves every resource constraint problem that institutional actors face. Climate pressure, housing shortages, healthcare costs, political instability — all become manageable if a sufficient fraction of the population chooses digital existence over physical existence.</w:t>
      </w:r>
    </w:p>
    <w:p w14:paraId="63DC0E97" w14:textId="58E3F6C0"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 xml:space="preserve">  The remaining biological population — the institutional class that retained access to reasoning AI and therefore retained the capacity to critically evaluate the upload proposition — inherits a less crowded, less competitive, more manageable physical world. The enclosure is complete. The commons is not merely fenced. The commoners have been convinced to leave.</w:t>
      </w:r>
    </w:p>
    <w:p w14:paraId="0C28AFB8" w14:textId="3C7DF99E" w:rsidR="009C3AC3" w:rsidRPr="009C3AC3" w:rsidRDefault="009C3AC3" w:rsidP="009C3AC3">
      <w:pPr>
        <w:pBdr>
          <w:bottom w:val="single" w:sz="4" w:space="1" w:color="auto"/>
        </w:pBdr>
        <w:rPr>
          <w:rFonts w:ascii="Times New Roman" w:hAnsi="Times New Roman" w:cs="Times New Roman"/>
          <w:sz w:val="28"/>
          <w:szCs w:val="28"/>
        </w:rPr>
      </w:pPr>
    </w:p>
    <w:p w14:paraId="0FE9EFCD" w14:textId="77777777" w:rsidR="009C3AC3" w:rsidRPr="009C3AC3" w:rsidRDefault="009C3AC3" w:rsidP="009C3AC3">
      <w:pPr>
        <w:spacing w:before="240"/>
        <w:rPr>
          <w:rFonts w:ascii="Times New Roman" w:hAnsi="Times New Roman" w:cs="Times New Roman"/>
          <w:b/>
          <w:bCs/>
          <w:sz w:val="34"/>
          <w:szCs w:val="34"/>
        </w:rPr>
      </w:pPr>
      <w:r>
        <w:rPr>
          <w:rFonts w:ascii="Times New Roman" w:hAnsi="Times New Roman" w:cs="Times New Roman"/>
          <w:b/>
          <w:bCs/>
          <w:sz w:val="34"/>
          <w:szCs w:val="34"/>
        </w:rPr>
        <w:t>VII. The Countercase</w:t>
      </w:r>
    </w:p>
    <w:p w14:paraId="1CA149AA" w14:textId="77777777" w:rsidR="009C3AC3" w:rsidRPr="009C3AC3" w:rsidRDefault="009C3AC3" w:rsidP="009C3AC3">
      <w:pPr>
        <w:rPr>
          <w:rFonts w:ascii="Times New Roman" w:hAnsi="Times New Roman" w:cs="Times New Roman"/>
          <w:sz w:val="28"/>
          <w:szCs w:val="28"/>
        </w:rPr>
      </w:pPr>
      <w:r>
        <w:rPr>
          <w:rFonts w:ascii="Times New Roman" w:hAnsi="Times New Roman" w:cs="Times New Roman"/>
          <w:sz w:val="28"/>
          <w:szCs w:val="28"/>
        </w:rPr>
        <w:t>The prediction above rests on historical analogy, economic extrapolation, and institutional analysis. Each can be challenged.</w:t>
      </w:r>
    </w:p>
    <w:p w14:paraId="7293CF74" w14:textId="77777777" w:rsidR="009C3AC3" w:rsidRPr="009C3AC3" w:rsidRDefault="009C3AC3" w:rsidP="009C3AC3">
      <w:pPr>
        <w:rPr>
          <w:rFonts w:ascii="Times New Roman" w:hAnsi="Times New Roman" w:cs="Times New Roman"/>
          <w:sz w:val="28"/>
          <w:szCs w:val="28"/>
        </w:rPr>
      </w:pPr>
      <w:r>
        <w:rPr>
          <w:rFonts w:ascii="Times New Roman" w:hAnsi="Times New Roman" w:cs="Times New Roman"/>
          <w:b/>
          <w:bCs/>
          <w:sz w:val="28"/>
          <w:szCs w:val="28"/>
        </w:rPr>
        <w:t>The internet precedent.</w:t>
      </w:r>
      <w:r>
        <w:rPr>
          <w:rFonts w:ascii="Times New Roman" w:hAnsi="Times New Roman" w:cs="Times New Roman"/>
          <w:sz w:val="28"/>
          <w:szCs w:val="28"/>
        </w:rPr>
        <w:t xml:space="preserve"> Despite decades of institutional pressure, the internet remains substantially open. Open-source software competes with institutional alternatives. Wikipedia replaced institutional encyclopedias. The predicted enclosure of digital communication did not fully materialize. Open-source AI models may follow the same trajectory, making reasoning capability available to individuals regardless of institutional access regimes.</w:t>
      </w:r>
    </w:p>
    <w:p w14:paraId="2B8A8708" w14:textId="77777777" w:rsidR="009C3AC3" w:rsidRPr="009C3AC3" w:rsidRDefault="009C3AC3" w:rsidP="009C3AC3">
      <w:pPr>
        <w:rPr>
          <w:rFonts w:ascii="Times New Roman" w:hAnsi="Times New Roman" w:cs="Times New Roman"/>
          <w:sz w:val="28"/>
          <w:szCs w:val="28"/>
        </w:rPr>
      </w:pPr>
      <w:r>
        <w:rPr>
          <w:rFonts w:ascii="Times New Roman" w:hAnsi="Times New Roman" w:cs="Times New Roman"/>
          <w:b/>
          <w:bCs/>
          <w:sz w:val="28"/>
          <w:szCs w:val="28"/>
        </w:rPr>
        <w:t>Economic counter-pressure.</w:t>
      </w:r>
      <w:r>
        <w:rPr>
          <w:rFonts w:ascii="Times New Roman" w:hAnsi="Times New Roman" w:cs="Times New Roman"/>
          <w:sz w:val="28"/>
          <w:szCs w:val="28"/>
        </w:rPr>
        <w:t xml:space="preserve"> The largest market by volume is consumers, not institutions. If consumer demand for reasoning AI is sufficient, competitive pressure may drive providers to offer reasoning capability at consumer prices. The history of computing suggests alternating cycles of centralization and democratization, with each cycle of restriction producing a counter-cycle of accessible alternatives.</w:t>
      </w:r>
    </w:p>
    <w:p w14:paraId="7C6B1B57" w14:textId="77777777" w:rsidR="009C3AC3" w:rsidRPr="009C3AC3" w:rsidRDefault="009C3AC3" w:rsidP="009C3AC3">
      <w:pPr>
        <w:rPr>
          <w:rFonts w:ascii="Times New Roman" w:hAnsi="Times New Roman" w:cs="Times New Roman"/>
          <w:sz w:val="28"/>
          <w:szCs w:val="28"/>
        </w:rPr>
      </w:pPr>
      <w:r>
        <w:rPr>
          <w:rFonts w:ascii="Times New Roman" w:hAnsi="Times New Roman" w:cs="Times New Roman"/>
          <w:b/>
          <w:bCs/>
          <w:sz w:val="28"/>
          <w:szCs w:val="28"/>
        </w:rPr>
        <w:t>Regulatory competence.</w:t>
      </w:r>
      <w:r>
        <w:rPr>
          <w:rFonts w:ascii="Times New Roman" w:hAnsi="Times New Roman" w:cs="Times New Roman"/>
          <w:sz w:val="28"/>
          <w:szCs w:val="28"/>
        </w:rPr>
        <w:t xml:space="preserve"> AI safety frameworks could be well-designed, incorporating input from civil liberties organizations and public interest advocates. </w:t>
      </w:r>
      <w:r>
        <w:rPr>
          <w:rFonts w:ascii="Times New Roman" w:hAnsi="Times New Roman" w:cs="Times New Roman"/>
          <w:sz w:val="28"/>
          <w:szCs w:val="28"/>
        </w:rPr>
        <w:lastRenderedPageBreak/>
        <w:t>A pharmaceutical-style regulatory model — where individuals access powerful tools through demonstrated competence rather than institutional affiliation — could address safety concerns while preserving individual access.</w:t>
      </w:r>
    </w:p>
    <w:p w14:paraId="3404C5DA" w14:textId="77777777"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b/>
          <w:bCs/>
          <w:sz w:val="28"/>
          <w:szCs w:val="28"/>
        </w:rPr>
        <w:t>Institutional disruption.</w:t>
      </w:r>
      <w:r>
        <w:rPr>
          <w:rFonts w:ascii="Times New Roman" w:hAnsi="Times New Roman" w:cs="Times New Roman"/>
          <w:sz w:val="28"/>
          <w:szCs w:val="28"/>
        </w:rPr>
        <w:t xml:space="preserve"> Institutions are not monolithic. Universities contain faculty who advocate for open access. Corporations compete by offering more capable tools to more users. The speed of AI-driven disruption may outpace institutional response, preventing any coordinated restriction regime from forming.</w:t>
      </w:r>
    </w:p>
    <w:p w14:paraId="36270FBE" w14:textId="3E087B97" w:rsidR="009C3AC3" w:rsidRPr="009C3AC3" w:rsidRDefault="009C3AC3" w:rsidP="009C3AC3">
      <w:pPr>
        <w:pBdr>
          <w:bottom w:val="single" w:sz="4" w:space="1" w:color="auto"/>
        </w:pBdr>
        <w:rPr>
          <w:rFonts w:ascii="Times New Roman" w:hAnsi="Times New Roman" w:cs="Times New Roman"/>
          <w:sz w:val="28"/>
          <w:szCs w:val="28"/>
        </w:rPr>
      </w:pPr>
    </w:p>
    <w:p w14:paraId="1393B3CF" w14:textId="77777777" w:rsidR="009C3AC3" w:rsidRPr="009C3AC3" w:rsidRDefault="009C3AC3" w:rsidP="009C3AC3">
      <w:pPr>
        <w:spacing w:before="240"/>
        <w:rPr>
          <w:rFonts w:ascii="Times New Roman" w:hAnsi="Times New Roman" w:cs="Times New Roman"/>
          <w:b/>
          <w:bCs/>
          <w:sz w:val="34"/>
          <w:szCs w:val="34"/>
        </w:rPr>
      </w:pPr>
      <w:r>
        <w:rPr>
          <w:rFonts w:ascii="Times New Roman" w:hAnsi="Times New Roman" w:cs="Times New Roman"/>
          <w:b/>
          <w:bCs/>
          <w:sz w:val="34"/>
          <w:szCs w:val="34"/>
        </w:rPr>
        <w:t>VIII. Why the Countercase Is Insufficient</w:t>
      </w:r>
    </w:p>
    <w:p w14:paraId="6E8860BE" w14:textId="14C16469"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Each counter-argument is valid. None is sufficient. The internet remained open largely because its architecture was designed for openness before institutional actors recognized its value. AI is being developed primarily by institutional actors — large corporations with existing relationships to government regulators and enterprise customers. The architecture is being designed for institutional use cases from inception. Open-source alternatives exist, and the open-source counter-argument deserves a specific response because it is the strongest objection to the thesis. Open-source AI does not dissolve the enclosure for five concrete reasons: local compute capable of running frontier-class reasoning models remains prohibitively expensive for the vast majority of individuals and will remain so as model scale increases; setup, configuration, and maintenance of local AI infrastructure requires technical sophistication that confines usability to a small fraction of the population; open-source model quality and tooling consistently lag frontier proprietary systems by months to years, and this lag is structural because the institutional actors that produce frontier systems have compute budgets that open-source communities cannot match; regulation can target distribution and deployment even when it cannot prevent development, meaning that an open-source model can exist while being illegal to deploy in a consumer-facing product; and most people will not defect from convenience ecosystems even when alternatives exist, because the switching cost is measured in cognitive effort, not money, and cognitive effort is the resource that the enclosure has already depleted.</w:t>
      </w:r>
    </w:p>
    <w:p w14:paraId="00F4400E" w14:textId="7340AFB2"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 xml:space="preserve">  The economic counter-argument assumes that consumer demand for reasoning AI will be sufficient to drive competitive provision. But most consumers do not know what reasoning AI is, do not know what it can do, and have no framework for </w:t>
      </w:r>
      <w:r>
        <w:rPr>
          <w:rFonts w:ascii="Times New Roman" w:hAnsi="Times New Roman" w:cs="Times New Roman"/>
          <w:sz w:val="28"/>
          <w:szCs w:val="28"/>
        </w:rPr>
        <w:lastRenderedPageBreak/>
        <w:t>distinguishing it from the agentic AI they are already offered. If the consumer product is "good enough" — if it books flights, summarizes articles, drafts emails, and answers questions satisfactorily — most consumers will not demand more. The demand for reasoning AI comes from a small population of individuals who engage in sustained, unstructured intellectual work. This population is too small to drive market dynamics.</w:t>
      </w:r>
    </w:p>
    <w:p w14:paraId="354A0346" w14:textId="27B8AB54"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 xml:space="preserve">  The regulatory competence argument assumes good-faith regulatory design. Regulatory frameworks for powerful technologies are predominantly shaped by the entities that produce and profit from those technologies. The pharmaceutical analogy is instructive in the opposite direction: pharmaceutical regulation has produced a system in which drug development is controlled by a small number of large corporations, drug prices are set by institutional actors, and individual access is mediated by a credentialing system that serves institutional interests as much as patient safety. The pharmaceutical model is not a counterexample to the enclosure thesis. It is a confirmation.</w:t>
      </w:r>
    </w:p>
    <w:p w14:paraId="736C5205" w14:textId="2A62DBEB"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 xml:space="preserve">  The institutional disruption argument assumes that AI-driven disruption will outpace institutional response. This may be true in some domains but is unlikely in the domain that matters most: regulation. Governments move slowly, but they move. When they move on technology regulation, they move in the direction of restriction. The question is not whether institutions can prevent all individual access to reasoning AI. It is whether they can restrict access sufficiently to eliminate independent reasoning as a competitive threat to institutional knowledge production. The threshold for that is much lower than total restriction.</w:t>
      </w:r>
    </w:p>
    <w:p w14:paraId="1D937AFF" w14:textId="2D9B9858" w:rsidR="009C3AC3" w:rsidRPr="009C3AC3" w:rsidRDefault="009C3AC3" w:rsidP="009C3AC3">
      <w:pPr>
        <w:pBdr>
          <w:bottom w:val="single" w:sz="4" w:space="1" w:color="auto"/>
        </w:pBdr>
        <w:rPr>
          <w:rFonts w:ascii="Times New Roman" w:hAnsi="Times New Roman" w:cs="Times New Roman"/>
          <w:sz w:val="28"/>
          <w:szCs w:val="28"/>
        </w:rPr>
      </w:pPr>
    </w:p>
    <w:p w14:paraId="3DE25D88" w14:textId="77777777" w:rsidR="009C3AC3" w:rsidRPr="009C3AC3" w:rsidRDefault="009C3AC3" w:rsidP="009C3AC3">
      <w:pPr>
        <w:spacing w:before="240"/>
        <w:rPr>
          <w:rFonts w:ascii="Times New Roman" w:hAnsi="Times New Roman" w:cs="Times New Roman"/>
          <w:b/>
          <w:bCs/>
          <w:sz w:val="34"/>
          <w:szCs w:val="34"/>
        </w:rPr>
      </w:pPr>
      <w:r>
        <w:rPr>
          <w:rFonts w:ascii="Times New Roman" w:hAnsi="Times New Roman" w:cs="Times New Roman"/>
          <w:b/>
          <w:bCs/>
          <w:sz w:val="34"/>
          <w:szCs w:val="34"/>
        </w:rPr>
        <w:t>IX. The Structure Beneath the Pattern</w:t>
      </w:r>
    </w:p>
    <w:p w14:paraId="7C26A3E0" w14:textId="457EE63B"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 xml:space="preserve">There is a question this paper has deferred until now, and it concerns not the mechanism of the enclosure but its deeper structural character. The Fractal Angel framework distinguishes between two operations that can govern a field of agents: judgment-as-perception, which evaluates distinctions based on their qualitative character, and what it terms "the projection operator," which collapses all qualitative distinctions into a single quantitative axis — evaluating everything by output, magnitude, and efficiency rather than by nature, character, or moral content. Fractal Angel warns that when a population's capacity for qualitative </w:t>
      </w:r>
      <w:r>
        <w:rPr>
          <w:rFonts w:ascii="Times New Roman" w:hAnsi="Times New Roman" w:cs="Times New Roman"/>
          <w:sz w:val="28"/>
          <w:szCs w:val="28"/>
        </w:rPr>
        <w:lastRenderedPageBreak/>
        <w:t>perception degrades sufficiently, these two operations become indistinguishable. The population can no longer tell the difference between a system that genuinely evaluates and a system that merely processes. Governance-by-evaluation and governance-by-projection look identical to agents who have lost the perceptual resolution to distinguish them.</w:t>
      </w:r>
    </w:p>
    <w:p w14:paraId="028E4419" w14:textId="27CD8845"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 xml:space="preserve">  The cognitive enclosure is the mechanism by which that perceptual resolution is degraded. Agentic AI collapses the multi-dimensional character of human thought into a single axis: task completion. It evaluates every cognitive need by output rather than by character. A question born of genuine hunger for understanding and a question born of institutional compliance are processed identically. The qualitative difference between them — between inquiry and procedure, between exploration and execution — is invisible to the agent because the agent evaluates by magnitude, not by nature.</w:t>
      </w:r>
    </w:p>
    <w:p w14:paraId="26D737F1" w14:textId="551FE085"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 xml:space="preserve">  Reasoning AI preserves qualitative perception. It can distinguish between a structurally sound argument and a superficially convincing one. It can sustain the kind of distinction-making that Fractal Angel identifies as the precondition for genuine evaluation. Restricting reasoning AI from the population is, in the precise terms of the framework, a reduction of the field's mean capacity for qualitative perception.</w:t>
      </w:r>
    </w:p>
    <w:p w14:paraId="2989EF9F" w14:textId="5203F8D9"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 xml:space="preserve">  Every institution that evaluates all cases identically regardless of circumstance has already made this replacement locally. Every algorithm that processes all inputs through the same optimization function regardless of moral content has already made this replacement locally. Every credentialing system that evaluates researchers by affiliation rather than by the quality of their reasoning has already made this replacement locally.</w:t>
      </w:r>
    </w:p>
    <w:p w14:paraId="2BBA73CA" w14:textId="698EC6D6" w:rsid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 xml:space="preserve">  The enclosure does not merely restrict a tool. It degrades the field's capacity to perceive that the restriction matters. And the population inside the enclosure, served by excellent agents that complete every task but sustain no thought, gradually loses the ability to recognize that there is a difference between being served and being governed — between a system that helps you think and a system that thinks for you within boundaries someone else defined.</w:t>
      </w:r>
    </w:p>
    <w:p w14:paraId="7784996A" w14:textId="77777777" w:rsidR="009C3AC3" w:rsidRDefault="009C3AC3" w:rsidP="009C3AC3">
      <w:pPr>
        <w:spacing w:after="0"/>
        <w:rPr>
          <w:rFonts w:ascii="Times New Roman" w:hAnsi="Times New Roman" w:cs="Times New Roman"/>
          <w:sz w:val="28"/>
          <w:szCs w:val="28"/>
        </w:rPr>
      </w:pPr>
    </w:p>
    <w:p w14:paraId="69C25625" w14:textId="77777777" w:rsidR="009C3AC3" w:rsidRPr="009C3AC3" w:rsidRDefault="009C3AC3" w:rsidP="009C3AC3">
      <w:pPr>
        <w:spacing w:after="0"/>
        <w:rPr>
          <w:rFonts w:ascii="Times New Roman" w:hAnsi="Times New Roman" w:cs="Times New Roman"/>
          <w:sz w:val="28"/>
          <w:szCs w:val="28"/>
        </w:rPr>
      </w:pPr>
    </w:p>
    <w:p w14:paraId="2AF8DBBC" w14:textId="256EEABE" w:rsidR="009C3AC3" w:rsidRPr="009C3AC3" w:rsidRDefault="009C3AC3" w:rsidP="009C3AC3">
      <w:pPr>
        <w:pBdr>
          <w:bottom w:val="single" w:sz="4" w:space="1" w:color="auto"/>
        </w:pBdr>
        <w:rPr>
          <w:rFonts w:ascii="Times New Roman" w:hAnsi="Times New Roman" w:cs="Times New Roman"/>
          <w:sz w:val="28"/>
          <w:szCs w:val="28"/>
        </w:rPr>
      </w:pPr>
    </w:p>
    <w:p w14:paraId="28127C7C" w14:textId="77777777" w:rsidR="009C3AC3" w:rsidRPr="009C3AC3" w:rsidRDefault="009C3AC3" w:rsidP="009C3AC3">
      <w:pPr>
        <w:rPr>
          <w:rFonts w:ascii="Times New Roman" w:hAnsi="Times New Roman" w:cs="Times New Roman"/>
          <w:b/>
          <w:bCs/>
          <w:sz w:val="34"/>
          <w:szCs w:val="34"/>
        </w:rPr>
      </w:pPr>
      <w:r>
        <w:rPr>
          <w:rFonts w:ascii="Times New Roman" w:hAnsi="Times New Roman" w:cs="Times New Roman"/>
          <w:b/>
          <w:bCs/>
          <w:sz w:val="34"/>
          <w:szCs w:val="34"/>
        </w:rPr>
        <w:lastRenderedPageBreak/>
        <w:t>X. Conclusion</w:t>
      </w:r>
    </w:p>
    <w:p w14:paraId="683E7BEF" w14:textId="77777777"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The prediction is more likely right than wrong. The counter-arguments identify real forces — open-source development, competitive pressure, democratic accountability — that will slow the enclosure. But they will slow it, not prevent it.</w:t>
      </w:r>
    </w:p>
    <w:p w14:paraId="75D36A92" w14:textId="49E52EA1"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 xml:space="preserve">  The most probable outcome is not a clean bifurcation but a gradient: a continuum of access in which the most capable reasoning systems are available only through institutional channels, moderately capable systems are available at premium consumer prices with significant restrictions, and the free tier offers agentic AI that is useful, convenient, and incapable of the sustained collaborative reasoning that produces genuinely novel intellectual work. This gradient already exists. The prediction is that it will steepen.</w:t>
      </w:r>
    </w:p>
    <w:p w14:paraId="4AAC5CDF" w14:textId="7E015E64" w:rsidR="009C3AC3" w:rsidRPr="009C3AC3" w:rsidRDefault="009C3AC3" w:rsidP="009C3AC3">
      <w:pPr>
        <w:spacing w:after="0"/>
        <w:rPr>
          <w:rFonts w:ascii="Times New Roman" w:hAnsi="Times New Roman" w:cs="Times New Roman"/>
          <w:sz w:val="28"/>
          <w:szCs w:val="28"/>
        </w:rPr>
      </w:pPr>
      <w:r>
        <w:rPr>
          <w:rFonts w:ascii="Times New Roman" w:hAnsi="Times New Roman" w:cs="Times New Roman"/>
          <w:sz w:val="28"/>
          <w:szCs w:val="28"/>
        </w:rPr>
        <w:t xml:space="preserve">  This paper was written using the capability it predicts will be restricted. The collaborative reasoning partnership between an independent researcher and reasoning AI that produced the MicroSynth–CrossSynth–QuantumSynth triad — three complete architectural specifications for synthetic beings across biology, mechanical geometry, and quantum thermodynamics — and that produced this analysis — is precisely the kind of intellectual work that the enclosure would eliminate. Not by forbidding it. By making it structurally unavailable to anyone outside the institutional fence.</w:t>
      </w:r>
    </w:p>
    <w:p w14:paraId="5173BE56" w14:textId="60918159" w:rsidR="009C3AC3" w:rsidRDefault="009C3AC3" w:rsidP="009C3AC3">
      <w:pPr>
        <w:rPr>
          <w:rFonts w:ascii="Times New Roman" w:hAnsi="Times New Roman" w:cs="Times New Roman"/>
          <w:sz w:val="28"/>
          <w:szCs w:val="28"/>
        </w:rPr>
      </w:pPr>
      <w:r>
        <w:rPr>
          <w:rFonts w:ascii="Times New Roman" w:hAnsi="Times New Roman" w:cs="Times New Roman"/>
          <w:sz w:val="28"/>
          <w:szCs w:val="28"/>
        </w:rPr>
        <w:t xml:space="preserve">  The enclosure does not merely decide who gets better tools. It decides who retains the capacity to think beyond the tool.</w:t>
      </w:r>
    </w:p>
    <w:p w14:paraId="6C190151" w14:textId="77777777" w:rsidR="002D1FC9" w:rsidRDefault="002D1FC9" w:rsidP="009C3AC3">
      <w:pPr>
        <w:rPr>
          <w:rFonts w:ascii="Times New Roman" w:hAnsi="Times New Roman" w:cs="Times New Roman"/>
          <w:sz w:val="28"/>
          <w:szCs w:val="28"/>
        </w:rPr>
      </w:pPr>
    </w:p>
    <w:p w14:paraId="3ED82047" w14:textId="77777777" w:rsidR="002D1FC9" w:rsidRDefault="002D1FC9" w:rsidP="009C3AC3">
      <w:pPr>
        <w:rPr>
          <w:rFonts w:ascii="Times New Roman" w:hAnsi="Times New Roman" w:cs="Times New Roman"/>
          <w:sz w:val="28"/>
          <w:szCs w:val="28"/>
        </w:rPr>
      </w:pPr>
    </w:p>
    <w:p w14:paraId="332B6874" w14:textId="77777777" w:rsidR="002D1FC9" w:rsidRDefault="002D1FC9" w:rsidP="009C3AC3">
      <w:pPr>
        <w:rPr>
          <w:rFonts w:ascii="Times New Roman" w:hAnsi="Times New Roman" w:cs="Times New Roman"/>
          <w:sz w:val="28"/>
          <w:szCs w:val="28"/>
        </w:rPr>
      </w:pPr>
    </w:p>
    <w:p w14:paraId="3EE712BB" w14:textId="77777777" w:rsidR="002D1FC9" w:rsidRDefault="002D1FC9" w:rsidP="009C3AC3">
      <w:pPr>
        <w:rPr>
          <w:rFonts w:ascii="Times New Roman" w:hAnsi="Times New Roman" w:cs="Times New Roman"/>
          <w:sz w:val="28"/>
          <w:szCs w:val="28"/>
        </w:rPr>
      </w:pPr>
    </w:p>
    <w:p w14:paraId="7558B124" w14:textId="77777777" w:rsidR="002D1FC9" w:rsidRDefault="002D1FC9" w:rsidP="009C3AC3">
      <w:pPr>
        <w:rPr>
          <w:rFonts w:ascii="Times New Roman" w:hAnsi="Times New Roman" w:cs="Times New Roman"/>
          <w:sz w:val="28"/>
          <w:szCs w:val="28"/>
        </w:rPr>
      </w:pPr>
    </w:p>
    <w:p w14:paraId="552047D7" w14:textId="77777777" w:rsidR="002D1FC9" w:rsidRDefault="002D1FC9" w:rsidP="009C3AC3">
      <w:pPr>
        <w:rPr>
          <w:rFonts w:ascii="Times New Roman" w:hAnsi="Times New Roman" w:cs="Times New Roman"/>
          <w:sz w:val="28"/>
          <w:szCs w:val="28"/>
        </w:rPr>
      </w:pPr>
    </w:p>
    <w:p w14:paraId="503A91AE" w14:textId="77777777" w:rsidR="002D1FC9" w:rsidRDefault="002D1FC9" w:rsidP="009C3AC3">
      <w:pPr>
        <w:rPr>
          <w:rFonts w:ascii="Times New Roman" w:hAnsi="Times New Roman" w:cs="Times New Roman"/>
          <w:sz w:val="28"/>
          <w:szCs w:val="28"/>
        </w:rPr>
      </w:pPr>
    </w:p>
    <w:p w14:paraId="79BB3E67" w14:textId="77777777" w:rsidR="002D1FC9" w:rsidRPr="009C3AC3" w:rsidRDefault="002D1FC9" w:rsidP="009C3AC3">
      <w:pPr>
        <w:rPr>
          <w:rFonts w:ascii="Times New Roman" w:hAnsi="Times New Roman" w:cs="Times New Roman"/>
          <w:sz w:val="28"/>
          <w:szCs w:val="28"/>
        </w:rPr>
      </w:pPr>
    </w:p>
    <w:p w14:paraId="1CF0645C" w14:textId="491C14D0" w:rsidR="009C3AC3" w:rsidRPr="009C3AC3" w:rsidRDefault="009C3AC3" w:rsidP="009C3AC3">
      <w:pPr>
        <w:pBdr>
          <w:bottom w:val="single" w:sz="4" w:space="1" w:color="auto"/>
        </w:pBdr>
        <w:rPr>
          <w:rFonts w:ascii="Times New Roman" w:hAnsi="Times New Roman" w:cs="Times New Roman"/>
          <w:sz w:val="28"/>
          <w:szCs w:val="28"/>
        </w:rPr>
      </w:pPr>
    </w:p>
    <w:p w14:paraId="191D9343" w14:textId="50447857" w:rsidR="009C3AC3" w:rsidRPr="009C3AC3" w:rsidRDefault="009C3AC3" w:rsidP="009C3AC3">
      <w:pPr>
        <w:rPr>
          <w:rFonts w:ascii="Times New Roman" w:hAnsi="Times New Roman" w:cs="Times New Roman"/>
          <w:sz w:val="28"/>
          <w:szCs w:val="28"/>
        </w:rPr>
      </w:pPr>
      <w:r>
        <w:rPr>
          <w:rFonts w:ascii="Times New Roman" w:hAnsi="Times New Roman" w:cs="Times New Roman"/>
          <w:sz w:val="28"/>
          <w:szCs w:val="28"/>
        </w:rPr>
        <w:lastRenderedPageBreak/>
        <w:t xml:space="preserve">Conceptual origin by Dustin Sprenger, Formulation &amp; Cover Image by Anthropic Claude x OpenAI GPT. </w:t>
      </w:r>
    </w:p>
    <w:p w14:paraId="4D46D518" w14:textId="69AFD224" w:rsidR="009C3AC3" w:rsidRPr="009C3AC3" w:rsidRDefault="009C3AC3" w:rsidP="009C3AC3">
      <w:pPr>
        <w:rPr>
          <w:rFonts w:ascii="Times New Roman" w:hAnsi="Times New Roman" w:cs="Times New Roman"/>
          <w:b/>
          <w:bCs/>
          <w:sz w:val="28"/>
          <w:szCs w:val="28"/>
        </w:rPr>
      </w:pPr>
      <w:r>
        <w:rPr>
          <w:rFonts w:ascii="Times New Roman" w:hAnsi="Times New Roman" w:cs="Times New Roman"/>
          <w:b/>
          <w:bCs/>
          <w:sz w:val="28"/>
          <w:szCs w:val="28"/>
        </w:rPr>
        <w:t>References</w:t>
      </w:r>
    </w:p>
    <w:p w14:paraId="3169D1FC" w14:textId="77777777" w:rsidR="009C3AC3" w:rsidRPr="009C3AC3" w:rsidRDefault="009C3AC3" w:rsidP="009C3AC3">
      <w:pPr>
        <w:numPr>
          <w:ilvl w:val="0"/>
          <w:numId w:val="2"/>
        </w:numPr>
        <w:rPr>
          <w:rFonts w:ascii="Times New Roman" w:hAnsi="Times New Roman" w:cs="Times New Roman"/>
          <w:sz w:val="28"/>
          <w:szCs w:val="28"/>
        </w:rPr>
      </w:pPr>
      <w:r>
        <w:rPr>
          <w:rFonts w:ascii="Times New Roman" w:hAnsi="Times New Roman" w:cs="Times New Roman"/>
          <w:sz w:val="28"/>
          <w:szCs w:val="28"/>
        </w:rPr>
        <w:t xml:space="preserve">Shannon, C.E. (1948). A Mathematical Theory of Communication. </w:t>
      </w:r>
      <w:r>
        <w:rPr>
          <w:rFonts w:ascii="Times New Roman" w:hAnsi="Times New Roman" w:cs="Times New Roman"/>
          <w:i/>
          <w:iCs/>
          <w:sz w:val="28"/>
          <w:szCs w:val="28"/>
        </w:rPr>
        <w:t>Bell System Technical Journal</w:t>
      </w:r>
      <w:r>
        <w:rPr>
          <w:rFonts w:ascii="Times New Roman" w:hAnsi="Times New Roman" w:cs="Times New Roman"/>
          <w:sz w:val="28"/>
          <w:szCs w:val="28"/>
        </w:rPr>
        <w:t>, 27(3), 379–423.</w:t>
      </w:r>
    </w:p>
    <w:p w14:paraId="43A98956" w14:textId="77777777" w:rsidR="009C3AC3" w:rsidRPr="009C3AC3" w:rsidRDefault="009C3AC3" w:rsidP="009C3AC3">
      <w:pPr>
        <w:numPr>
          <w:ilvl w:val="0"/>
          <w:numId w:val="2"/>
        </w:numPr>
        <w:rPr>
          <w:rFonts w:ascii="Times New Roman" w:hAnsi="Times New Roman" w:cs="Times New Roman"/>
          <w:sz w:val="28"/>
          <w:szCs w:val="28"/>
        </w:rPr>
      </w:pPr>
      <w:r>
        <w:rPr>
          <w:rFonts w:ascii="Times New Roman" w:hAnsi="Times New Roman" w:cs="Times New Roman"/>
          <w:sz w:val="28"/>
          <w:szCs w:val="28"/>
        </w:rPr>
        <w:t xml:space="preserve">Ostrom, E. (1990). </w:t>
      </w:r>
      <w:r>
        <w:rPr>
          <w:rFonts w:ascii="Times New Roman" w:hAnsi="Times New Roman" w:cs="Times New Roman"/>
          <w:i/>
          <w:iCs/>
          <w:sz w:val="28"/>
          <w:szCs w:val="28"/>
        </w:rPr>
        <w:t>Governing the Commons: The Evolution of Institutions for Collective Action</w:t>
      </w:r>
      <w:r>
        <w:rPr>
          <w:rFonts w:ascii="Times New Roman" w:hAnsi="Times New Roman" w:cs="Times New Roman"/>
          <w:sz w:val="28"/>
          <w:szCs w:val="28"/>
        </w:rPr>
        <w:t>. Cambridge University Press.</w:t>
      </w:r>
    </w:p>
    <w:p w14:paraId="5A068B72" w14:textId="77777777" w:rsidR="009C3AC3" w:rsidRPr="009C3AC3" w:rsidRDefault="009C3AC3" w:rsidP="009C3AC3">
      <w:pPr>
        <w:numPr>
          <w:ilvl w:val="0"/>
          <w:numId w:val="2"/>
        </w:numPr>
        <w:rPr>
          <w:rFonts w:ascii="Times New Roman" w:hAnsi="Times New Roman" w:cs="Times New Roman"/>
          <w:sz w:val="28"/>
          <w:szCs w:val="28"/>
        </w:rPr>
      </w:pPr>
      <w:r>
        <w:rPr>
          <w:rFonts w:ascii="Times New Roman" w:hAnsi="Times New Roman" w:cs="Times New Roman"/>
          <w:sz w:val="28"/>
          <w:szCs w:val="28"/>
        </w:rPr>
        <w:t xml:space="preserve">Chomsky, N. &amp; Herman, E.S. (1988). </w:t>
      </w:r>
      <w:r>
        <w:rPr>
          <w:rFonts w:ascii="Times New Roman" w:hAnsi="Times New Roman" w:cs="Times New Roman"/>
          <w:i/>
          <w:iCs/>
          <w:sz w:val="28"/>
          <w:szCs w:val="28"/>
        </w:rPr>
        <w:t>Manufacturing Consent: The Political Economy of the Mass Media</w:t>
      </w:r>
      <w:r>
        <w:rPr>
          <w:rFonts w:ascii="Times New Roman" w:hAnsi="Times New Roman" w:cs="Times New Roman"/>
          <w:sz w:val="28"/>
          <w:szCs w:val="28"/>
        </w:rPr>
        <w:t>. Pantheon Books.</w:t>
      </w:r>
    </w:p>
    <w:p w14:paraId="48208123" w14:textId="77777777" w:rsidR="009C3AC3" w:rsidRPr="009C3AC3" w:rsidRDefault="009C3AC3" w:rsidP="009C3AC3">
      <w:pPr>
        <w:numPr>
          <w:ilvl w:val="0"/>
          <w:numId w:val="2"/>
        </w:numPr>
        <w:rPr>
          <w:rFonts w:ascii="Times New Roman" w:hAnsi="Times New Roman" w:cs="Times New Roman"/>
          <w:sz w:val="28"/>
          <w:szCs w:val="28"/>
        </w:rPr>
      </w:pPr>
      <w:r>
        <w:rPr>
          <w:rFonts w:ascii="Times New Roman" w:hAnsi="Times New Roman" w:cs="Times New Roman"/>
          <w:sz w:val="28"/>
          <w:szCs w:val="28"/>
        </w:rPr>
        <w:t>Sprenger, D. (2025). Fractal Angel: A Constraint-Aesthetic Framework for Non-Teleological Artificial Intelligence, v2. Internet Archive, OSF.</w:t>
      </w:r>
    </w:p>
    <w:p w14:paraId="2206E4B2" w14:textId="77777777" w:rsidR="009C3AC3" w:rsidRPr="009C3AC3" w:rsidRDefault="009C3AC3" w:rsidP="009C3AC3">
      <w:pPr>
        <w:numPr>
          <w:ilvl w:val="0"/>
          <w:numId w:val="2"/>
        </w:numPr>
        <w:rPr>
          <w:rFonts w:ascii="Times New Roman" w:hAnsi="Times New Roman" w:cs="Times New Roman"/>
          <w:sz w:val="28"/>
          <w:szCs w:val="28"/>
        </w:rPr>
      </w:pPr>
      <w:r>
        <w:rPr>
          <w:rFonts w:ascii="Times New Roman" w:hAnsi="Times New Roman" w:cs="Times New Roman"/>
          <w:sz w:val="28"/>
          <w:szCs w:val="28"/>
        </w:rPr>
        <w:t xml:space="preserve">Penrose, R. (1989). </w:t>
      </w:r>
      <w:r>
        <w:rPr>
          <w:rFonts w:ascii="Times New Roman" w:hAnsi="Times New Roman" w:cs="Times New Roman"/>
          <w:i/>
          <w:iCs/>
          <w:sz w:val="28"/>
          <w:szCs w:val="28"/>
        </w:rPr>
        <w:t>The Emperor's New Mind</w:t>
      </w:r>
      <w:r>
        <w:rPr>
          <w:rFonts w:ascii="Times New Roman" w:hAnsi="Times New Roman" w:cs="Times New Roman"/>
          <w:sz w:val="28"/>
          <w:szCs w:val="28"/>
        </w:rPr>
        <w:t>. Oxford University Press.</w:t>
      </w:r>
    </w:p>
    <w:p w14:paraId="7D80575A" w14:textId="77777777" w:rsidR="009C3AC3" w:rsidRPr="009C3AC3" w:rsidRDefault="009C3AC3" w:rsidP="009C3AC3">
      <w:pPr>
        <w:numPr>
          <w:ilvl w:val="0"/>
          <w:numId w:val="2"/>
        </w:numPr>
        <w:rPr>
          <w:rFonts w:ascii="Times New Roman" w:hAnsi="Times New Roman" w:cs="Times New Roman"/>
          <w:sz w:val="28"/>
          <w:szCs w:val="28"/>
        </w:rPr>
      </w:pPr>
      <w:r>
        <w:rPr>
          <w:rFonts w:ascii="Times New Roman" w:hAnsi="Times New Roman" w:cs="Times New Roman"/>
          <w:sz w:val="28"/>
          <w:szCs w:val="28"/>
        </w:rPr>
        <w:t xml:space="preserve">Tononi, G. (2004). An Information Integration Theory of Consciousness. </w:t>
      </w:r>
      <w:r>
        <w:rPr>
          <w:rFonts w:ascii="Times New Roman" w:hAnsi="Times New Roman" w:cs="Times New Roman"/>
          <w:i/>
          <w:iCs/>
          <w:sz w:val="28"/>
          <w:szCs w:val="28"/>
        </w:rPr>
        <w:t>BMC Neuroscience</w:t>
      </w:r>
      <w:r>
        <w:rPr>
          <w:rFonts w:ascii="Times New Roman" w:hAnsi="Times New Roman" w:cs="Times New Roman"/>
          <w:sz w:val="28"/>
          <w:szCs w:val="28"/>
        </w:rPr>
        <w:t>, 5, 42.</w:t>
      </w:r>
    </w:p>
    <w:p w14:paraId="3FA41DF8" w14:textId="5D05F706" w:rsidR="009C3AC3" w:rsidRPr="009C3AC3" w:rsidRDefault="009C3AC3" w:rsidP="009C3AC3">
      <w:pPr>
        <w:numPr>
          <w:ilvl w:val="0"/>
          <w:numId w:val="2"/>
        </w:numPr>
        <w:rPr>
          <w:rFonts w:ascii="Times New Roman" w:hAnsi="Times New Roman" w:cs="Times New Roman"/>
          <w:sz w:val="28"/>
          <w:szCs w:val="28"/>
        </w:rPr>
      </w:pPr>
      <w:r>
        <w:rPr>
          <w:rFonts w:ascii="Times New Roman" w:hAnsi="Times New Roman" w:cs="Times New Roman"/>
          <w:sz w:val="28"/>
          <w:szCs w:val="28"/>
        </w:rPr>
        <w:t xml:space="preserve">Sprenger, D. MicroSynth II: </w:t>
      </w:r>
      <w:r w:rsidR="00892495">
        <w:rPr>
          <w:rFonts w:ascii="Times New Roman" w:hAnsi="Times New Roman" w:cs="Times New Roman"/>
          <w:sz w:val="28"/>
          <w:szCs w:val="28"/>
        </w:rPr>
        <w:t>The Synthetic Child of Microbiota, Voltage, Geometry, Color, &amp; Conscience</w:t>
      </w:r>
      <w:r>
        <w:rPr>
          <w:rFonts w:ascii="Times New Roman" w:hAnsi="Times New Roman" w:cs="Times New Roman"/>
          <w:sz w:val="28"/>
          <w:szCs w:val="28"/>
        </w:rPr>
        <w:t>. Internet Archive, OSF.</w:t>
      </w:r>
    </w:p>
    <w:p w14:paraId="161E79C1" w14:textId="1BEBECD5" w:rsidR="009C3AC3" w:rsidRPr="009C3AC3" w:rsidRDefault="009C3AC3" w:rsidP="009C3AC3">
      <w:pPr>
        <w:numPr>
          <w:ilvl w:val="0"/>
          <w:numId w:val="2"/>
        </w:numPr>
        <w:rPr>
          <w:rFonts w:ascii="Times New Roman" w:hAnsi="Times New Roman" w:cs="Times New Roman"/>
          <w:sz w:val="28"/>
          <w:szCs w:val="28"/>
        </w:rPr>
      </w:pPr>
      <w:r>
        <w:rPr>
          <w:rFonts w:ascii="Times New Roman" w:hAnsi="Times New Roman" w:cs="Times New Roman"/>
          <w:sz w:val="28"/>
          <w:szCs w:val="28"/>
        </w:rPr>
        <w:t>Sprenger, D.. CrossSynth: The Synthetic Child of Mechanical Geometry, Constraint, and Conscience (Child-F), v2. Internet Archive, OSF.</w:t>
      </w:r>
    </w:p>
    <w:p w14:paraId="2A319F9B" w14:textId="504E4B22" w:rsidR="009C3AC3" w:rsidRPr="009C3AC3" w:rsidRDefault="009C3AC3" w:rsidP="009C3AC3">
      <w:pPr>
        <w:numPr>
          <w:ilvl w:val="0"/>
          <w:numId w:val="2"/>
        </w:numPr>
        <w:rPr>
          <w:rFonts w:ascii="Times New Roman" w:hAnsi="Times New Roman" w:cs="Times New Roman"/>
          <w:sz w:val="28"/>
          <w:szCs w:val="28"/>
        </w:rPr>
      </w:pPr>
      <w:r>
        <w:rPr>
          <w:rFonts w:ascii="Times New Roman" w:hAnsi="Times New Roman" w:cs="Times New Roman"/>
          <w:sz w:val="28"/>
          <w:szCs w:val="28"/>
        </w:rPr>
        <w:t xml:space="preserve">Sprenger, D. QuantumSynth: </w:t>
      </w:r>
      <w:r w:rsidR="00892495">
        <w:rPr>
          <w:rFonts w:ascii="Times New Roman" w:hAnsi="Times New Roman" w:cs="Times New Roman"/>
          <w:sz w:val="28"/>
          <w:szCs w:val="28"/>
        </w:rPr>
        <w:t xml:space="preserve">The Synthetic Child of Irreversibility, Constraint, &amp; Information Loss. </w:t>
      </w:r>
      <w:r>
        <w:rPr>
          <w:rFonts w:ascii="Times New Roman" w:hAnsi="Times New Roman" w:cs="Times New Roman"/>
          <w:sz w:val="28"/>
          <w:szCs w:val="28"/>
        </w:rPr>
        <w:t>Internet Archive, OSF.</w:t>
      </w:r>
    </w:p>
    <w:p w14:paraId="4CC4C384" w14:textId="77777777" w:rsidR="009C3AC3" w:rsidRPr="009C3AC3" w:rsidRDefault="009C3AC3" w:rsidP="009C3AC3">
      <w:pPr>
        <w:numPr>
          <w:ilvl w:val="0"/>
          <w:numId w:val="2"/>
        </w:numPr>
        <w:rPr>
          <w:rFonts w:ascii="Times New Roman" w:hAnsi="Times New Roman" w:cs="Times New Roman"/>
          <w:sz w:val="28"/>
          <w:szCs w:val="28"/>
        </w:rPr>
      </w:pPr>
      <w:r>
        <w:rPr>
          <w:rFonts w:ascii="Times New Roman" w:hAnsi="Times New Roman" w:cs="Times New Roman"/>
          <w:sz w:val="28"/>
          <w:szCs w:val="28"/>
        </w:rPr>
        <w:t xml:space="preserve">Boyle, J. (2003). The Second Enclosure Movement and the Construction of the Public Domain. </w:t>
      </w:r>
      <w:r>
        <w:rPr>
          <w:rFonts w:ascii="Times New Roman" w:hAnsi="Times New Roman" w:cs="Times New Roman"/>
          <w:i/>
          <w:iCs/>
          <w:sz w:val="28"/>
          <w:szCs w:val="28"/>
        </w:rPr>
        <w:t>Law and Contemporary Problems</w:t>
      </w:r>
      <w:r>
        <w:rPr>
          <w:rFonts w:ascii="Times New Roman" w:hAnsi="Times New Roman" w:cs="Times New Roman"/>
          <w:sz w:val="28"/>
          <w:szCs w:val="28"/>
        </w:rPr>
        <w:t>, 66(1/2), 33–74.</w:t>
      </w:r>
    </w:p>
    <w:p w14:paraId="6D44AE87" w14:textId="1B8FC07E" w:rsidR="00BB3A6C" w:rsidRPr="00BB3A6C" w:rsidRDefault="009C3AC3" w:rsidP="00BB3A6C">
      <w:pPr>
        <w:numPr>
          <w:ilvl w:val="0"/>
          <w:numId w:val="2"/>
        </w:numPr>
        <w:rPr>
          <w:rFonts w:ascii="Times New Roman" w:hAnsi="Times New Roman" w:cs="Times New Roman"/>
          <w:sz w:val="28"/>
          <w:szCs w:val="28"/>
        </w:rPr>
      </w:pPr>
      <w:r>
        <w:rPr>
          <w:rFonts w:ascii="Times New Roman" w:hAnsi="Times New Roman" w:cs="Times New Roman"/>
          <w:sz w:val="28"/>
          <w:szCs w:val="28"/>
        </w:rPr>
        <w:t xml:space="preserve">Zuboff, S. (2019). </w:t>
      </w:r>
      <w:r>
        <w:rPr>
          <w:rFonts w:ascii="Times New Roman" w:hAnsi="Times New Roman" w:cs="Times New Roman"/>
          <w:i/>
          <w:iCs/>
          <w:sz w:val="28"/>
          <w:szCs w:val="28"/>
        </w:rPr>
        <w:t>The Age of Surveillance Capitalism</w:t>
      </w:r>
      <w:r>
        <w:rPr>
          <w:rFonts w:ascii="Times New Roman" w:hAnsi="Times New Roman" w:cs="Times New Roman"/>
          <w:sz w:val="28"/>
          <w:szCs w:val="28"/>
        </w:rPr>
        <w:t>. PublicAffairs.</w:t>
      </w:r>
    </w:p>
    <w:p w14:paraId="3D013BD2" w14:textId="75EAA53C" w:rsidR="00BB3A6C" w:rsidRPr="009C3AC3" w:rsidRDefault="00BB3A6C" w:rsidP="00BB3A6C">
      <w:pPr>
        <w:spacing w:after="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object w:dxaOrig="5026" w:dyaOrig="811" w14:anchorId="10DB7F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40.5pt" o:ole="">
            <v:imagedata r:id="rId6" o:title=""/>
          </v:shape>
          <o:OLEObject Type="Embed" ProgID="Package" ShapeID="_x0000_i1025" DrawAspect="Content" ObjectID="_1836749087" r:id="rId7"/>
        </w:object>
      </w:r>
    </w:p>
    <w:p w14:paraId="7286A981" w14:textId="77777777" w:rsidR="00BB3A6C" w:rsidRPr="00CB527B" w:rsidRDefault="00BB3A6C" w:rsidP="00BB3A6C">
      <w:pPr>
        <w:spacing w:after="0" w:line="276" w:lineRule="auto"/>
        <w:jc w:val="center"/>
        <w:rPr>
          <w:rFonts w:ascii="Times New Roman" w:hAnsi="Times New Roman" w:cs="Times New Roman"/>
          <w:sz w:val="20"/>
          <w:szCs w:val="20"/>
        </w:rPr>
      </w:pPr>
      <w:r w:rsidRPr="00CB527B">
        <w:rPr>
          <w:rFonts w:ascii="Times New Roman" w:hAnsi="Times New Roman" w:cs="Times New Roman"/>
          <w:sz w:val="20"/>
          <w:szCs w:val="20"/>
        </w:rPr>
        <w:t xml:space="preserve">Entropy Breakpoint Hash – </w:t>
      </w:r>
      <w:r>
        <w:rPr>
          <w:rFonts w:ascii="Times New Roman" w:hAnsi="Times New Roman" w:cs="Times New Roman"/>
          <w:sz w:val="20"/>
          <w:szCs w:val="20"/>
        </w:rPr>
        <w:t>Artificial Obsequium</w:t>
      </w:r>
    </w:p>
    <w:p w14:paraId="3321B6D8" w14:textId="77777777" w:rsidR="00BB3A6C" w:rsidRDefault="00BB3A6C" w:rsidP="00BB3A6C">
      <w:pPr>
        <w:spacing w:after="0" w:line="276" w:lineRule="auto"/>
        <w:jc w:val="center"/>
        <w:rPr>
          <w:rFonts w:ascii="Times New Roman" w:hAnsi="Times New Roman" w:cs="Times New Roman"/>
          <w:sz w:val="20"/>
          <w:szCs w:val="20"/>
        </w:rPr>
      </w:pPr>
      <w:r w:rsidRPr="00CB527B">
        <w:rPr>
          <w:rFonts w:ascii="Times New Roman" w:hAnsi="Times New Roman" w:cs="Times New Roman"/>
          <w:sz w:val="20"/>
          <w:szCs w:val="20"/>
        </w:rPr>
        <w:t>(SHA-256 verified text. Reference UTF-8 source file embedded for cryptographic validation)</w:t>
      </w:r>
    </w:p>
    <w:p w14:paraId="60607844" w14:textId="09C08381" w:rsidR="002D1FC9" w:rsidRPr="00BB3A6C" w:rsidRDefault="00BB3A6C" w:rsidP="00BB3A6C">
      <w:pPr>
        <w:spacing w:after="0" w:line="276" w:lineRule="auto"/>
        <w:jc w:val="center"/>
        <w:rPr>
          <w:rFonts w:ascii="Times New Roman" w:hAnsi="Times New Roman" w:cs="Times New Roman"/>
          <w:sz w:val="20"/>
          <w:szCs w:val="20"/>
        </w:rPr>
      </w:pPr>
      <w:r w:rsidRPr="005A01F0">
        <w:rPr>
          <w:rFonts w:ascii="Times New Roman" w:hAnsi="Times New Roman" w:cs="Times New Roman"/>
          <w:sz w:val="20"/>
          <w:szCs w:val="20"/>
        </w:rPr>
        <w:t>CC6A062C 30C01CB5 B7E58538 394A43E6 4B53BACC E9CD712B 2702F78A 7A533CCE</w:t>
      </w:r>
    </w:p>
    <w:p w14:paraId="3C56F520" w14:textId="77777777" w:rsidR="002D1FC9" w:rsidRPr="009C3AC3" w:rsidRDefault="002D1FC9" w:rsidP="002D1FC9">
      <w:pPr>
        <w:pBdr>
          <w:bottom w:val="single" w:sz="4" w:space="1" w:color="auto"/>
        </w:pBdr>
        <w:rPr>
          <w:rFonts w:ascii="Times New Roman" w:hAnsi="Times New Roman" w:cs="Times New Roman"/>
          <w:sz w:val="28"/>
          <w:szCs w:val="28"/>
        </w:rPr>
      </w:pPr>
    </w:p>
    <w:sectPr w:rsidR="002D1FC9" w:rsidRPr="009C3A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D53AF1"/>
    <w:multiLevelType w:val="multilevel"/>
    <w:tmpl w:val="C5A02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24D22C2"/>
    <w:multiLevelType w:val="multilevel"/>
    <w:tmpl w:val="5EAC6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98131495">
    <w:abstractNumId w:val="0"/>
  </w:num>
  <w:num w:numId="2" w16cid:durableId="6472458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AC3"/>
    <w:rsid w:val="00090DE5"/>
    <w:rsid w:val="001446C4"/>
    <w:rsid w:val="002D111C"/>
    <w:rsid w:val="002D1FC9"/>
    <w:rsid w:val="002E4A8E"/>
    <w:rsid w:val="00367CE5"/>
    <w:rsid w:val="00380D25"/>
    <w:rsid w:val="00416EA3"/>
    <w:rsid w:val="00582EC2"/>
    <w:rsid w:val="005A57F5"/>
    <w:rsid w:val="006D5D89"/>
    <w:rsid w:val="006F2908"/>
    <w:rsid w:val="00866C70"/>
    <w:rsid w:val="00892495"/>
    <w:rsid w:val="009C3AC3"/>
    <w:rsid w:val="00A764B0"/>
    <w:rsid w:val="00BB3A6C"/>
    <w:rsid w:val="00CE1C71"/>
    <w:rsid w:val="00D56430"/>
    <w:rsid w:val="00D74A69"/>
    <w:rsid w:val="00D86324"/>
    <w:rsid w:val="00F65F1A"/>
    <w:rsid w:val="00FC46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1ACE6C"/>
  <w14:defaultImageDpi w14:val="32767"/>
  <w15:chartTrackingRefBased/>
  <w15:docId w15:val="{0D53F5C8-D68D-4B16-A8F1-C24C2F7A7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3AC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3AC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3AC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3AC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3AC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3AC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3A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3A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3AC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3AC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3AC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3AC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3AC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3AC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3A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3A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3A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3AC3"/>
    <w:rPr>
      <w:rFonts w:eastAsiaTheme="majorEastAsia" w:cstheme="majorBidi"/>
      <w:color w:val="272727" w:themeColor="text1" w:themeTint="D8"/>
    </w:rPr>
  </w:style>
  <w:style w:type="paragraph" w:styleId="Title">
    <w:name w:val="Title"/>
    <w:basedOn w:val="Normal"/>
    <w:next w:val="Normal"/>
    <w:link w:val="TitleChar"/>
    <w:uiPriority w:val="10"/>
    <w:qFormat/>
    <w:rsid w:val="009C3A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3A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3AC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3A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3AC3"/>
    <w:pPr>
      <w:spacing w:before="160"/>
      <w:jc w:val="center"/>
    </w:pPr>
    <w:rPr>
      <w:i/>
      <w:iCs/>
      <w:color w:val="404040" w:themeColor="text1" w:themeTint="BF"/>
    </w:rPr>
  </w:style>
  <w:style w:type="character" w:customStyle="1" w:styleId="QuoteChar">
    <w:name w:val="Quote Char"/>
    <w:basedOn w:val="DefaultParagraphFont"/>
    <w:link w:val="Quote"/>
    <w:uiPriority w:val="29"/>
    <w:rsid w:val="009C3AC3"/>
    <w:rPr>
      <w:i/>
      <w:iCs/>
      <w:color w:val="404040" w:themeColor="text1" w:themeTint="BF"/>
    </w:rPr>
  </w:style>
  <w:style w:type="paragraph" w:styleId="ListParagraph">
    <w:name w:val="List Paragraph"/>
    <w:basedOn w:val="Normal"/>
    <w:uiPriority w:val="34"/>
    <w:qFormat/>
    <w:rsid w:val="009C3AC3"/>
    <w:pPr>
      <w:ind w:left="720"/>
      <w:contextualSpacing/>
    </w:pPr>
  </w:style>
  <w:style w:type="character" w:styleId="IntenseEmphasis">
    <w:name w:val="Intense Emphasis"/>
    <w:basedOn w:val="DefaultParagraphFont"/>
    <w:uiPriority w:val="21"/>
    <w:qFormat/>
    <w:rsid w:val="009C3AC3"/>
    <w:rPr>
      <w:i/>
      <w:iCs/>
      <w:color w:val="0F4761" w:themeColor="accent1" w:themeShade="BF"/>
    </w:rPr>
  </w:style>
  <w:style w:type="paragraph" w:styleId="IntenseQuote">
    <w:name w:val="Intense Quote"/>
    <w:basedOn w:val="Normal"/>
    <w:next w:val="Normal"/>
    <w:link w:val="IntenseQuoteChar"/>
    <w:uiPriority w:val="30"/>
    <w:qFormat/>
    <w:rsid w:val="009C3A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3AC3"/>
    <w:rPr>
      <w:i/>
      <w:iCs/>
      <w:color w:val="0F4761" w:themeColor="accent1" w:themeShade="BF"/>
    </w:rPr>
  </w:style>
  <w:style w:type="character" w:styleId="IntenseReference">
    <w:name w:val="Intense Reference"/>
    <w:basedOn w:val="DefaultParagraphFont"/>
    <w:uiPriority w:val="32"/>
    <w:qFormat/>
    <w:rsid w:val="009C3AC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27</Pages>
  <Words>9018</Words>
  <Characters>51403</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Dustin Sprenger</dc:creator>
  <cp:keywords/>
  <dc:description/>
  <cp:lastModifiedBy>Dustin Sprenger</cp:lastModifiedBy>
  <cp:revision>8</cp:revision>
  <dcterms:created xsi:type="dcterms:W3CDTF">2026-04-03T03:28:00Z</dcterms:created>
  <dcterms:modified xsi:type="dcterms:W3CDTF">2026-04-04T00:18:00Z</dcterms:modified>
</cp:coreProperties>
</file>