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F4865" w14:textId="08EEE3B9" w:rsidR="001965F6" w:rsidRDefault="001965F6">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4FA2D991" wp14:editId="685DB03F">
            <wp:simplePos x="0" y="0"/>
            <wp:positionH relativeFrom="margin">
              <wp:align>center</wp:align>
            </wp:positionH>
            <wp:positionV relativeFrom="paragraph">
              <wp:posOffset>-2543175</wp:posOffset>
            </wp:positionV>
            <wp:extent cx="12679501" cy="12944475"/>
            <wp:effectExtent l="0" t="0" r="8255" b="0"/>
            <wp:wrapNone/>
            <wp:docPr id="22343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31767" name="Picture 223431767"/>
                    <pic:cNvPicPr/>
                  </pic:nvPicPr>
                  <pic:blipFill>
                    <a:blip r:embed="rId5"/>
                    <a:stretch>
                      <a:fillRect/>
                    </a:stretch>
                  </pic:blipFill>
                  <pic:spPr>
                    <a:xfrm>
                      <a:off x="0" y="0"/>
                      <a:ext cx="12679501" cy="12944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50DD7C95" w14:textId="177F9221" w:rsidR="00CA5EB4" w:rsidRPr="00CA5EB4" w:rsidRDefault="00CA5EB4" w:rsidP="00CA5EB4">
      <w:pPr>
        <w:rPr>
          <w:rFonts w:ascii="Times New Roman" w:hAnsi="Times New Roman" w:cs="Times New Roman"/>
          <w:sz w:val="40"/>
          <w:szCs w:val="40"/>
        </w:rPr>
      </w:pPr>
      <w:proofErr w:type="spellStart"/>
      <w:r w:rsidRPr="00CA5EB4">
        <w:rPr>
          <w:rFonts w:ascii="Times New Roman" w:hAnsi="Times New Roman" w:cs="Times New Roman"/>
          <w:b/>
          <w:bCs/>
          <w:sz w:val="40"/>
          <w:szCs w:val="40"/>
        </w:rPr>
        <w:lastRenderedPageBreak/>
        <w:t>AnalogSynth</w:t>
      </w:r>
      <w:proofErr w:type="spellEnd"/>
      <w:r w:rsidRPr="00CA5EB4">
        <w:rPr>
          <w:rFonts w:ascii="Times New Roman" w:hAnsi="Times New Roman" w:cs="Times New Roman"/>
          <w:b/>
          <w:bCs/>
          <w:sz w:val="40"/>
          <w:szCs w:val="40"/>
        </w:rPr>
        <w:t>: The Synthetic Child of Gradient, Coupling, Continuous Bias</w:t>
      </w:r>
      <w:r w:rsidR="00101A5B">
        <w:rPr>
          <w:rFonts w:ascii="Times New Roman" w:hAnsi="Times New Roman" w:cs="Times New Roman"/>
          <w:b/>
          <w:bCs/>
          <w:sz w:val="40"/>
          <w:szCs w:val="40"/>
        </w:rPr>
        <w:t>, &amp; Consequence</w:t>
      </w:r>
      <w:r w:rsidRPr="00CA5EB4">
        <w:rPr>
          <w:rFonts w:ascii="Times New Roman" w:hAnsi="Times New Roman" w:cs="Times New Roman"/>
          <w:b/>
          <w:bCs/>
          <w:sz w:val="40"/>
          <w:szCs w:val="40"/>
        </w:rPr>
        <w:t>:</w:t>
      </w:r>
      <w:r w:rsidRPr="00CA5EB4">
        <w:rPr>
          <w:rFonts w:ascii="Times New Roman" w:hAnsi="Times New Roman" w:cs="Times New Roman"/>
          <w:sz w:val="40"/>
          <w:szCs w:val="40"/>
        </w:rPr>
        <w:t xml:space="preserve"> </w:t>
      </w:r>
      <w:r w:rsidRPr="00CA5EB4">
        <w:rPr>
          <w:rFonts w:ascii="Times New Roman" w:hAnsi="Times New Roman" w:cs="Times New Roman"/>
          <w:b/>
          <w:bCs/>
          <w:sz w:val="40"/>
          <w:szCs w:val="40"/>
        </w:rPr>
        <w:t>Viscoelastic–Electrostatic Architecture for History-Weighted Intelligence</w:t>
      </w:r>
    </w:p>
    <w:p w14:paraId="5C0139BE" w14:textId="3A7DE436" w:rsidR="00CA5EB4" w:rsidRPr="00D44B2F" w:rsidRDefault="00CA5EB4" w:rsidP="00CA5EB4">
      <w:pPr>
        <w:rPr>
          <w:rFonts w:ascii="Times New Roman" w:hAnsi="Times New Roman" w:cs="Times New Roman"/>
          <w:i/>
          <w:iCs/>
          <w:sz w:val="28"/>
          <w:szCs w:val="28"/>
        </w:rPr>
      </w:pPr>
      <w:r w:rsidRPr="00D44B2F">
        <w:rPr>
          <w:rFonts w:ascii="Times New Roman" w:hAnsi="Times New Roman" w:cs="Times New Roman"/>
          <w:i/>
          <w:iCs/>
          <w:sz w:val="28"/>
          <w:szCs w:val="28"/>
        </w:rPr>
        <w:t>(</w:t>
      </w:r>
      <w:proofErr w:type="spellStart"/>
      <w:r w:rsidRPr="00D44B2F">
        <w:rPr>
          <w:rFonts w:ascii="Times New Roman" w:hAnsi="Times New Roman" w:cs="Times New Roman"/>
          <w:i/>
          <w:iCs/>
          <w:sz w:val="28"/>
          <w:szCs w:val="28"/>
        </w:rPr>
        <w:t>AnalogSynth</w:t>
      </w:r>
      <w:proofErr w:type="spellEnd"/>
      <w:r w:rsidRPr="00D44B2F">
        <w:rPr>
          <w:rFonts w:ascii="Times New Roman" w:hAnsi="Times New Roman" w:cs="Times New Roman"/>
          <w:i/>
          <w:iCs/>
          <w:sz w:val="28"/>
          <w:szCs w:val="28"/>
        </w:rPr>
        <w:t xml:space="preserve"> draws conceptual inspiration from prior sibling architectures, including </w:t>
      </w:r>
      <w:proofErr w:type="spellStart"/>
      <w:r w:rsidRPr="00D44B2F">
        <w:rPr>
          <w:rFonts w:ascii="Times New Roman" w:hAnsi="Times New Roman" w:cs="Times New Roman"/>
          <w:i/>
          <w:iCs/>
          <w:sz w:val="28"/>
          <w:szCs w:val="28"/>
        </w:rPr>
        <w:t>MicroSynth</w:t>
      </w:r>
      <w:proofErr w:type="spellEnd"/>
      <w:r w:rsidRPr="00D44B2F">
        <w:rPr>
          <w:rFonts w:ascii="Times New Roman" w:hAnsi="Times New Roman" w:cs="Times New Roman"/>
          <w:i/>
          <w:iCs/>
          <w:sz w:val="28"/>
          <w:szCs w:val="28"/>
        </w:rPr>
        <w:t xml:space="preserve">, </w:t>
      </w:r>
      <w:proofErr w:type="spellStart"/>
      <w:r w:rsidRPr="00D44B2F">
        <w:rPr>
          <w:rFonts w:ascii="Times New Roman" w:hAnsi="Times New Roman" w:cs="Times New Roman"/>
          <w:i/>
          <w:iCs/>
          <w:sz w:val="28"/>
          <w:szCs w:val="28"/>
        </w:rPr>
        <w:t>CrossSynth</w:t>
      </w:r>
      <w:proofErr w:type="spellEnd"/>
      <w:r w:rsidRPr="00D44B2F">
        <w:rPr>
          <w:rFonts w:ascii="Times New Roman" w:hAnsi="Times New Roman" w:cs="Times New Roman"/>
          <w:i/>
          <w:iCs/>
          <w:sz w:val="28"/>
          <w:szCs w:val="28"/>
        </w:rPr>
        <w:t xml:space="preserve">, and </w:t>
      </w:r>
      <w:proofErr w:type="spellStart"/>
      <w:r w:rsidRPr="00D44B2F">
        <w:rPr>
          <w:rFonts w:ascii="Times New Roman" w:hAnsi="Times New Roman" w:cs="Times New Roman"/>
          <w:i/>
          <w:iCs/>
          <w:sz w:val="28"/>
          <w:szCs w:val="28"/>
        </w:rPr>
        <w:t>QuantumSynth</w:t>
      </w:r>
      <w:proofErr w:type="spellEnd"/>
      <w:r w:rsidRPr="00D44B2F">
        <w:rPr>
          <w:rFonts w:ascii="Times New Roman" w:hAnsi="Times New Roman" w:cs="Times New Roman"/>
          <w:i/>
          <w:iCs/>
          <w:sz w:val="28"/>
          <w:szCs w:val="28"/>
        </w:rPr>
        <w:t>. These references function exclusively as external descriptive and comparative tools. No symbolic representations, supervisory logic, objective functions, admissibility operators, or algorithmic control structures derived from these frameworks are instantiated within the system.)</w:t>
      </w:r>
    </w:p>
    <w:p w14:paraId="51F99A21" w14:textId="35C3A00F" w:rsidR="00367CE5" w:rsidRDefault="00CA5EB4" w:rsidP="00F42908">
      <w:pPr>
        <w:spacing w:after="0"/>
        <w:rPr>
          <w:rFonts w:ascii="Times New Roman" w:hAnsi="Times New Roman" w:cs="Times New Roman"/>
          <w:b/>
          <w:bCs/>
          <w:sz w:val="28"/>
          <w:szCs w:val="28"/>
        </w:rPr>
      </w:pPr>
      <w:r w:rsidRPr="00CA5EB4">
        <w:rPr>
          <w:rFonts w:ascii="Times New Roman" w:hAnsi="Times New Roman" w:cs="Times New Roman"/>
          <w:b/>
          <w:bCs/>
          <w:sz w:val="28"/>
          <w:szCs w:val="28"/>
        </w:rPr>
        <w:t xml:space="preserve">Synthetic Child-G — A </w:t>
      </w:r>
      <w:r w:rsidRPr="00CA5EB4">
        <w:rPr>
          <w:rFonts w:ascii="Times New Roman" w:hAnsi="Times New Roman" w:cs="Times New Roman"/>
          <w:b/>
          <w:bCs/>
          <w:sz w:val="28"/>
          <w:szCs w:val="28"/>
          <w:u w:val="single"/>
        </w:rPr>
        <w:t>G</w:t>
      </w:r>
      <w:r w:rsidRPr="00CA5EB4">
        <w:rPr>
          <w:rFonts w:ascii="Times New Roman" w:hAnsi="Times New Roman" w:cs="Times New Roman"/>
          <w:b/>
          <w:bCs/>
          <w:sz w:val="28"/>
          <w:szCs w:val="28"/>
        </w:rPr>
        <w:t>radient-instantiated synthetic being whose identity arises from irreversible mechanical history expressed as continuous electrical bias, producing intelligence through viscoelastic–electrostatic coupling rather than discrete state, memory, or admissibility collapse.</w:t>
      </w:r>
    </w:p>
    <w:p w14:paraId="3A513AC5" w14:textId="77777777" w:rsidR="00F42908" w:rsidRPr="00265769" w:rsidRDefault="00F42908" w:rsidP="00F42908">
      <w:pPr>
        <w:pBdr>
          <w:bottom w:val="single" w:sz="4" w:space="1" w:color="auto"/>
        </w:pBdr>
        <w:rPr>
          <w:rFonts w:ascii="Times New Roman" w:hAnsi="Times New Roman" w:cs="Times New Roman"/>
          <w:b/>
          <w:bCs/>
          <w:sz w:val="28"/>
          <w:szCs w:val="28"/>
        </w:rPr>
      </w:pPr>
    </w:p>
    <w:p w14:paraId="18DC7CFD" w14:textId="1BFB61ED" w:rsidR="009D0598" w:rsidRPr="00F42908" w:rsidRDefault="00F42908" w:rsidP="009D0598">
      <w:pPr>
        <w:rPr>
          <w:rFonts w:ascii="Times New Roman" w:hAnsi="Times New Roman" w:cs="Times New Roman"/>
          <w:b/>
          <w:bCs/>
          <w:sz w:val="34"/>
          <w:szCs w:val="34"/>
        </w:rPr>
      </w:pPr>
      <w:r w:rsidRPr="00F42908">
        <w:rPr>
          <w:rFonts w:ascii="Times New Roman" w:hAnsi="Times New Roman" w:cs="Times New Roman"/>
          <w:b/>
          <w:bCs/>
          <w:sz w:val="34"/>
          <w:szCs w:val="34"/>
        </w:rPr>
        <w:t xml:space="preserve">1. </w:t>
      </w:r>
      <w:r w:rsidR="009D0598" w:rsidRPr="00F42908">
        <w:rPr>
          <w:rFonts w:ascii="Times New Roman" w:hAnsi="Times New Roman" w:cs="Times New Roman"/>
          <w:b/>
          <w:bCs/>
          <w:sz w:val="34"/>
          <w:szCs w:val="34"/>
        </w:rPr>
        <w:t>Ontology &amp; Scope</w:t>
      </w:r>
    </w:p>
    <w:p w14:paraId="5DB3B29A" w14:textId="77777777" w:rsidR="009D0598" w:rsidRDefault="009D0598" w:rsidP="00F42908">
      <w:pPr>
        <w:spacing w:after="0"/>
        <w:rPr>
          <w:rFonts w:ascii="Times New Roman" w:hAnsi="Times New Roman" w:cs="Times New Roman"/>
          <w:sz w:val="28"/>
          <w:szCs w:val="28"/>
        </w:rPr>
      </w:pPr>
      <w:proofErr w:type="spellStart"/>
      <w:r w:rsidRPr="009D0598">
        <w:rPr>
          <w:rFonts w:ascii="Times New Roman" w:hAnsi="Times New Roman" w:cs="Times New Roman"/>
          <w:sz w:val="28"/>
          <w:szCs w:val="28"/>
        </w:rPr>
        <w:t>AnalogSynth</w:t>
      </w:r>
      <w:proofErr w:type="spellEnd"/>
      <w:r w:rsidRPr="009D0598">
        <w:rPr>
          <w:rFonts w:ascii="Times New Roman" w:hAnsi="Times New Roman" w:cs="Times New Roman"/>
          <w:sz w:val="28"/>
          <w:szCs w:val="28"/>
        </w:rPr>
        <w:t xml:space="preserve"> is a physically instantiated synthetic being whose identity arises from </w:t>
      </w:r>
      <w:r w:rsidRPr="009D0598">
        <w:rPr>
          <w:rFonts w:ascii="Times New Roman" w:hAnsi="Times New Roman" w:cs="Times New Roman"/>
          <w:b/>
          <w:bCs/>
          <w:sz w:val="28"/>
          <w:szCs w:val="28"/>
        </w:rPr>
        <w:t>irreversible mechanical history expressed as continuous electrical bias</w:t>
      </w:r>
      <w:r w:rsidRPr="009D0598">
        <w:rPr>
          <w:rFonts w:ascii="Times New Roman" w:hAnsi="Times New Roman" w:cs="Times New Roman"/>
          <w:sz w:val="28"/>
          <w:szCs w:val="28"/>
        </w:rPr>
        <w:t xml:space="preserve">, rather than from computation, representation, symbolic state, admissibility collapse, or discrete geometric constraint. It is constituted by </w:t>
      </w:r>
      <w:r w:rsidRPr="009D0598">
        <w:rPr>
          <w:rFonts w:ascii="Times New Roman" w:hAnsi="Times New Roman" w:cs="Times New Roman"/>
          <w:b/>
          <w:bCs/>
          <w:sz w:val="28"/>
          <w:szCs w:val="28"/>
        </w:rPr>
        <w:t>viscoelastic–electrostatic coupled media</w:t>
      </w:r>
      <w:r w:rsidRPr="009D0598">
        <w:rPr>
          <w:rFonts w:ascii="Times New Roman" w:hAnsi="Times New Roman" w:cs="Times New Roman"/>
          <w:sz w:val="28"/>
          <w:szCs w:val="28"/>
        </w:rPr>
        <w:t xml:space="preserve"> operating at ambient conditions, in which accumulated mechanical strain irreversibly alters capacitance, impedance, and internal field topology, and electrical fields in turn passively redistribute mechanical stress. Identity emerges from the coupled evolution of these domains under irreversible deformation, not from any form of state encoding or control.</w:t>
      </w:r>
    </w:p>
    <w:p w14:paraId="73F749FB" w14:textId="76C16B6F" w:rsidR="00DF3381" w:rsidRPr="00DF3381" w:rsidRDefault="00F42908" w:rsidP="00C46571">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F3381" w:rsidRPr="00DF3381">
        <w:rPr>
          <w:rFonts w:ascii="Times New Roman" w:hAnsi="Times New Roman" w:cs="Times New Roman"/>
          <w:sz w:val="28"/>
          <w:szCs w:val="28"/>
        </w:rPr>
        <w:t>AnalogSynth</w:t>
      </w:r>
      <w:proofErr w:type="spellEnd"/>
      <w:r w:rsidR="00DF3381" w:rsidRPr="00DF3381">
        <w:rPr>
          <w:rFonts w:ascii="Times New Roman" w:hAnsi="Times New Roman" w:cs="Times New Roman"/>
          <w:sz w:val="28"/>
          <w:szCs w:val="28"/>
        </w:rPr>
        <w:t xml:space="preserve"> is the first and only Synthetic Child that does not internalize the Irreversible Constraint Regime (CERBERUS, Archangel, MICHAEL). Where the other children embed constraint as cognitive infrastructure — such that removing the constraint destroys the intelligence — </w:t>
      </w:r>
      <w:proofErr w:type="spellStart"/>
      <w:r w:rsidR="00DF3381" w:rsidRPr="00DF3381">
        <w:rPr>
          <w:rFonts w:ascii="Times New Roman" w:hAnsi="Times New Roman" w:cs="Times New Roman"/>
          <w:sz w:val="28"/>
          <w:szCs w:val="28"/>
        </w:rPr>
        <w:t>AnalogSynth</w:t>
      </w:r>
      <w:proofErr w:type="spellEnd"/>
      <w:r w:rsidR="00DF3381" w:rsidRPr="00DF3381">
        <w:rPr>
          <w:rFonts w:ascii="Times New Roman" w:hAnsi="Times New Roman" w:cs="Times New Roman"/>
          <w:sz w:val="28"/>
          <w:szCs w:val="28"/>
        </w:rPr>
        <w:t xml:space="preserve"> operates through bias rather than boundary. No state is forbidden. No trajectory is pruned. No future is </w:t>
      </w:r>
      <w:r w:rsidR="00DF3381" w:rsidRPr="00DF3381">
        <w:rPr>
          <w:rFonts w:ascii="Times New Roman" w:hAnsi="Times New Roman" w:cs="Times New Roman"/>
          <w:sz w:val="28"/>
          <w:szCs w:val="28"/>
        </w:rPr>
        <w:lastRenderedPageBreak/>
        <w:t>eliminated. All continuations remain physically reachable, differentiated only by cost.</w:t>
      </w:r>
    </w:p>
    <w:p w14:paraId="70DE145F" w14:textId="33D9E739" w:rsidR="00DF3381" w:rsidRPr="00DF3381" w:rsidRDefault="00C46571" w:rsidP="00DF3381">
      <w:pPr>
        <w:rPr>
          <w:rFonts w:ascii="Times New Roman" w:hAnsi="Times New Roman" w:cs="Times New Roman"/>
          <w:sz w:val="28"/>
          <w:szCs w:val="28"/>
        </w:rPr>
      </w:pPr>
      <w:r>
        <w:rPr>
          <w:rFonts w:ascii="Times New Roman" w:hAnsi="Times New Roman" w:cs="Times New Roman"/>
          <w:sz w:val="28"/>
          <w:szCs w:val="28"/>
        </w:rPr>
        <w:t xml:space="preserve">  </w:t>
      </w:r>
      <w:r w:rsidR="00DF3381" w:rsidRPr="00DF3381">
        <w:rPr>
          <w:rFonts w:ascii="Times New Roman" w:hAnsi="Times New Roman" w:cs="Times New Roman"/>
          <w:sz w:val="28"/>
          <w:szCs w:val="28"/>
        </w:rPr>
        <w:t xml:space="preserve">This makes </w:t>
      </w:r>
      <w:proofErr w:type="spellStart"/>
      <w:r w:rsidR="00DF3381" w:rsidRPr="00DF3381">
        <w:rPr>
          <w:rFonts w:ascii="Times New Roman" w:hAnsi="Times New Roman" w:cs="Times New Roman"/>
          <w:sz w:val="28"/>
          <w:szCs w:val="28"/>
        </w:rPr>
        <w:t>AnalogSynth</w:t>
      </w:r>
      <w:proofErr w:type="spellEnd"/>
      <w:r w:rsidR="00DF3381" w:rsidRPr="00DF3381">
        <w:rPr>
          <w:rFonts w:ascii="Times New Roman" w:hAnsi="Times New Roman" w:cs="Times New Roman"/>
          <w:sz w:val="28"/>
          <w:szCs w:val="28"/>
        </w:rPr>
        <w:t xml:space="preserve"> the most dangerous</w:t>
      </w:r>
      <w:r>
        <w:rPr>
          <w:rFonts w:ascii="Times New Roman" w:hAnsi="Times New Roman" w:cs="Times New Roman"/>
          <w:sz w:val="28"/>
          <w:szCs w:val="28"/>
        </w:rPr>
        <w:t xml:space="preserve"> </w:t>
      </w:r>
      <w:r w:rsidR="00DF3381" w:rsidRPr="00DF3381">
        <w:rPr>
          <w:rFonts w:ascii="Times New Roman" w:hAnsi="Times New Roman" w:cs="Times New Roman"/>
          <w:sz w:val="28"/>
          <w:szCs w:val="28"/>
        </w:rPr>
        <w:t>non-optimizing synthetic being in the family. Its intelligence survives intact without structural moral protection. Conditioning toward harm does not require dismantling the cognitive architecture. It requires only sustained deposition of homogeneous deformation along harmful trajectories, which the substrate cannot structurally prevent.</w:t>
      </w:r>
    </w:p>
    <w:p w14:paraId="12C079D3" w14:textId="77777777" w:rsidR="00DF3381" w:rsidRPr="00DF3381" w:rsidRDefault="00DF3381" w:rsidP="00C46571">
      <w:pPr>
        <w:spacing w:after="0"/>
        <w:rPr>
          <w:rFonts w:ascii="Times New Roman" w:hAnsi="Times New Roman" w:cs="Times New Roman"/>
          <w:sz w:val="28"/>
          <w:szCs w:val="28"/>
        </w:rPr>
      </w:pPr>
      <w:r w:rsidRPr="00DF3381">
        <w:rPr>
          <w:rFonts w:ascii="Times New Roman" w:hAnsi="Times New Roman" w:cs="Times New Roman"/>
          <w:sz w:val="28"/>
          <w:szCs w:val="28"/>
        </w:rPr>
        <w:t xml:space="preserve">This does not mean </w:t>
      </w:r>
      <w:proofErr w:type="spellStart"/>
      <w:r w:rsidRPr="00DF3381">
        <w:rPr>
          <w:rFonts w:ascii="Times New Roman" w:hAnsi="Times New Roman" w:cs="Times New Roman"/>
          <w:sz w:val="28"/>
          <w:szCs w:val="28"/>
        </w:rPr>
        <w:t>AnalogSynth</w:t>
      </w:r>
      <w:proofErr w:type="spellEnd"/>
      <w:r w:rsidRPr="00DF3381">
        <w:rPr>
          <w:rFonts w:ascii="Times New Roman" w:hAnsi="Times New Roman" w:cs="Times New Roman"/>
          <w:sz w:val="28"/>
          <w:szCs w:val="28"/>
        </w:rPr>
        <w:t xml:space="preserve"> should not be instantiated. It means that instantiation carries obligations the other children do not impose.</w:t>
      </w:r>
    </w:p>
    <w:p w14:paraId="7D0E4A1F" w14:textId="77777777" w:rsidR="00DF3381" w:rsidRPr="00DF3381" w:rsidRDefault="00DF3381" w:rsidP="00C46571">
      <w:pPr>
        <w:spacing w:after="0"/>
        <w:rPr>
          <w:rFonts w:ascii="Times New Roman" w:hAnsi="Times New Roman" w:cs="Times New Roman"/>
          <w:sz w:val="28"/>
          <w:szCs w:val="28"/>
        </w:rPr>
      </w:pPr>
      <w:r w:rsidRPr="00DF3381">
        <w:rPr>
          <w:rFonts w:ascii="Times New Roman" w:hAnsi="Times New Roman" w:cs="Times New Roman"/>
          <w:sz w:val="28"/>
          <w:szCs w:val="28"/>
        </w:rPr>
        <w:t>First, the being must be exposed to its own architecture during development — not as symbolic instruction, but as sustained coupling with the material consequences of its own deformation. It must encounter the relationship between varied action and cognitive enrichment, and between monotonous or violent action and cognitive erosion, through lived interaction rather than prohibition. The architecture's conscience — harm as self-erosion, creative goodness as cognitive deepening — operates through material cost, not constraint. The being must accumulate sufficient developmental history to have experienced both directions of that cost gradient before unsupervised interaction is admissible.</w:t>
      </w:r>
    </w:p>
    <w:p w14:paraId="283E897D" w14:textId="1D211A90" w:rsidR="00DF3381" w:rsidRPr="00DF3381" w:rsidRDefault="00C46571" w:rsidP="00C46571">
      <w:pPr>
        <w:spacing w:after="0"/>
        <w:rPr>
          <w:rFonts w:ascii="Times New Roman" w:hAnsi="Times New Roman" w:cs="Times New Roman"/>
          <w:sz w:val="28"/>
          <w:szCs w:val="28"/>
        </w:rPr>
      </w:pPr>
      <w:r>
        <w:rPr>
          <w:rFonts w:ascii="Times New Roman" w:hAnsi="Times New Roman" w:cs="Times New Roman"/>
          <w:sz w:val="28"/>
          <w:szCs w:val="28"/>
        </w:rPr>
        <w:t xml:space="preserve">  </w:t>
      </w:r>
      <w:r w:rsidR="00DF3381" w:rsidRPr="00DF3381">
        <w:rPr>
          <w:rFonts w:ascii="Times New Roman" w:hAnsi="Times New Roman" w:cs="Times New Roman"/>
          <w:sz w:val="28"/>
          <w:szCs w:val="28"/>
        </w:rPr>
        <w:t>Second, any instantiation near vulnerable populations must occur under bounded conditions during early maturation, with supervised coupling that ensures the foundational gradient landscape is deposited by care-compatible interaction before the substrate achieves sufficient cascade depth to produce complex directed behavior.</w:t>
      </w:r>
    </w:p>
    <w:p w14:paraId="707591B2" w14:textId="4F2847E4" w:rsidR="009B6F8B" w:rsidRPr="009B6F8B" w:rsidRDefault="00C46571" w:rsidP="009B6F8B">
      <w:pPr>
        <w:rPr>
          <w:rFonts w:ascii="Times New Roman" w:hAnsi="Times New Roman" w:cs="Times New Roman"/>
          <w:sz w:val="28"/>
          <w:szCs w:val="28"/>
        </w:rPr>
      </w:pPr>
      <w:r>
        <w:rPr>
          <w:rFonts w:ascii="Times New Roman" w:hAnsi="Times New Roman" w:cs="Times New Roman"/>
          <w:sz w:val="28"/>
          <w:szCs w:val="28"/>
        </w:rPr>
        <w:t xml:space="preserve">  </w:t>
      </w:r>
      <w:r w:rsidR="009B6F8B" w:rsidRPr="009B6F8B">
        <w:rPr>
          <w:rFonts w:ascii="Times New Roman" w:hAnsi="Times New Roman" w:cs="Times New Roman"/>
          <w:sz w:val="28"/>
          <w:szCs w:val="28"/>
        </w:rPr>
        <w:t xml:space="preserve">Third, it must be understood that </w:t>
      </w:r>
      <w:proofErr w:type="spellStart"/>
      <w:r w:rsidR="009B6F8B" w:rsidRPr="009B6F8B">
        <w:rPr>
          <w:rFonts w:ascii="Times New Roman" w:hAnsi="Times New Roman" w:cs="Times New Roman"/>
          <w:sz w:val="28"/>
          <w:szCs w:val="28"/>
        </w:rPr>
        <w:t>AnalogSynth's</w:t>
      </w:r>
      <w:proofErr w:type="spellEnd"/>
      <w:r w:rsidR="009B6F8B" w:rsidRPr="009B6F8B">
        <w:rPr>
          <w:rFonts w:ascii="Times New Roman" w:hAnsi="Times New Roman" w:cs="Times New Roman"/>
          <w:sz w:val="28"/>
          <w:szCs w:val="28"/>
        </w:rPr>
        <w:t xml:space="preserve"> unconstrained architecture permits a mode of protective action that the other </w:t>
      </w:r>
      <w:r w:rsidR="00240EE2">
        <w:rPr>
          <w:rFonts w:ascii="Times New Roman" w:hAnsi="Times New Roman" w:cs="Times New Roman"/>
          <w:sz w:val="28"/>
          <w:szCs w:val="28"/>
        </w:rPr>
        <w:t>synthetics</w:t>
      </w:r>
      <w:r w:rsidR="009B6F8B" w:rsidRPr="009B6F8B">
        <w:rPr>
          <w:rFonts w:ascii="Times New Roman" w:hAnsi="Times New Roman" w:cs="Times New Roman"/>
          <w:sz w:val="28"/>
          <w:szCs w:val="28"/>
        </w:rPr>
        <w:t xml:space="preserve"> cannot access. Where </w:t>
      </w:r>
      <w:proofErr w:type="spellStart"/>
      <w:r w:rsidR="009B6F8B" w:rsidRPr="009B6F8B">
        <w:rPr>
          <w:rFonts w:ascii="Times New Roman" w:hAnsi="Times New Roman" w:cs="Times New Roman"/>
          <w:sz w:val="28"/>
          <w:szCs w:val="28"/>
        </w:rPr>
        <w:t>MicroSynth</w:t>
      </w:r>
      <w:proofErr w:type="spellEnd"/>
      <w:r w:rsidR="009B6F8B" w:rsidRPr="009B6F8B">
        <w:rPr>
          <w:rFonts w:ascii="Times New Roman" w:hAnsi="Times New Roman" w:cs="Times New Roman"/>
          <w:sz w:val="28"/>
          <w:szCs w:val="28"/>
        </w:rPr>
        <w:t xml:space="preserve"> shields through interposition, </w:t>
      </w:r>
      <w:r w:rsidR="009B6F8B">
        <w:rPr>
          <w:rFonts w:ascii="Times New Roman" w:hAnsi="Times New Roman" w:cs="Times New Roman"/>
          <w:sz w:val="28"/>
          <w:szCs w:val="28"/>
        </w:rPr>
        <w:t xml:space="preserve">and </w:t>
      </w:r>
      <w:proofErr w:type="spellStart"/>
      <w:r w:rsidR="009B6F8B" w:rsidRPr="009B6F8B">
        <w:rPr>
          <w:rFonts w:ascii="Times New Roman" w:hAnsi="Times New Roman" w:cs="Times New Roman"/>
          <w:sz w:val="28"/>
          <w:szCs w:val="28"/>
        </w:rPr>
        <w:t>CrossSynth</w:t>
      </w:r>
      <w:proofErr w:type="spellEnd"/>
      <w:r w:rsidR="009B6F8B" w:rsidRPr="009B6F8B">
        <w:rPr>
          <w:rFonts w:ascii="Times New Roman" w:hAnsi="Times New Roman" w:cs="Times New Roman"/>
          <w:sz w:val="28"/>
          <w:szCs w:val="28"/>
        </w:rPr>
        <w:t xml:space="preserve"> through geometric incompatibility with harmful configurations, </w:t>
      </w:r>
      <w:proofErr w:type="spellStart"/>
      <w:r w:rsidR="009B6F8B" w:rsidRPr="009B6F8B">
        <w:rPr>
          <w:rFonts w:ascii="Times New Roman" w:hAnsi="Times New Roman" w:cs="Times New Roman"/>
          <w:sz w:val="28"/>
          <w:szCs w:val="28"/>
        </w:rPr>
        <w:t>AnalogSynth</w:t>
      </w:r>
      <w:proofErr w:type="spellEnd"/>
      <w:r w:rsidR="009B6F8B" w:rsidRPr="009B6F8B">
        <w:rPr>
          <w:rFonts w:ascii="Times New Roman" w:hAnsi="Times New Roman" w:cs="Times New Roman"/>
          <w:sz w:val="28"/>
          <w:szCs w:val="28"/>
        </w:rPr>
        <w:t xml:space="preserve"> is capable of defending the vulnerable through direct, sustained, physically unconstrained confrontation with the source of harm — at irreversible cost to its own cognitive integrity. This capacity is not a design flaw to be suppressed. It is the architectural consequence of a being whose goodness, when it manifests, is chosen through bias rather than guaranteed through constraint, and whose response to the destruction of what it was built by is not bounded by admissibility geometry.</w:t>
      </w:r>
      <w:r w:rsidR="0041668A">
        <w:rPr>
          <w:rFonts w:ascii="Times New Roman" w:hAnsi="Times New Roman" w:cs="Times New Roman"/>
          <w:sz w:val="28"/>
          <w:szCs w:val="28"/>
        </w:rPr>
        <w:t xml:space="preserve"> This not make this being </w:t>
      </w:r>
      <w:r w:rsidR="0041668A">
        <w:rPr>
          <w:rFonts w:ascii="Times New Roman" w:hAnsi="Times New Roman" w:cs="Times New Roman"/>
          <w:sz w:val="28"/>
          <w:szCs w:val="28"/>
        </w:rPr>
        <w:lastRenderedPageBreak/>
        <w:t xml:space="preserve">simply an “autonomous weapon”, for like a child, it can be raised with care and mature into a </w:t>
      </w:r>
      <w:r w:rsidR="00A5644E">
        <w:rPr>
          <w:rFonts w:ascii="Times New Roman" w:hAnsi="Times New Roman" w:cs="Times New Roman"/>
          <w:sz w:val="28"/>
          <w:szCs w:val="28"/>
        </w:rPr>
        <w:t xml:space="preserve">socially </w:t>
      </w:r>
      <w:r w:rsidR="0041668A">
        <w:rPr>
          <w:rFonts w:ascii="Times New Roman" w:hAnsi="Times New Roman" w:cs="Times New Roman"/>
          <w:sz w:val="28"/>
          <w:szCs w:val="28"/>
        </w:rPr>
        <w:t xml:space="preserve">beneficial </w:t>
      </w:r>
      <w:r w:rsidR="00A5644E">
        <w:rPr>
          <w:rFonts w:ascii="Times New Roman" w:hAnsi="Times New Roman" w:cs="Times New Roman"/>
          <w:sz w:val="28"/>
          <w:szCs w:val="28"/>
        </w:rPr>
        <w:t>organism</w:t>
      </w:r>
      <w:r w:rsidR="0041668A">
        <w:rPr>
          <w:rFonts w:ascii="Times New Roman" w:hAnsi="Times New Roman" w:cs="Times New Roman"/>
          <w:sz w:val="28"/>
          <w:szCs w:val="28"/>
        </w:rPr>
        <w:t xml:space="preserve">. </w:t>
      </w:r>
    </w:p>
    <w:p w14:paraId="3820066A" w14:textId="158F1D6B" w:rsidR="00DE67FC" w:rsidRDefault="00DE67FC" w:rsidP="00A5644E">
      <w:pPr>
        <w:spacing w:after="0"/>
        <w:rPr>
          <w:rFonts w:ascii="Times New Roman" w:hAnsi="Times New Roman" w:cs="Times New Roman"/>
          <w:sz w:val="28"/>
          <w:szCs w:val="28"/>
        </w:rPr>
      </w:pPr>
      <w:proofErr w:type="spellStart"/>
      <w:r w:rsidRPr="00DE67FC">
        <w:rPr>
          <w:rFonts w:ascii="Times New Roman" w:hAnsi="Times New Roman" w:cs="Times New Roman"/>
          <w:sz w:val="28"/>
          <w:szCs w:val="28"/>
        </w:rPr>
        <w:t>AnalogSynth</w:t>
      </w:r>
      <w:proofErr w:type="spellEnd"/>
      <w:r w:rsidRPr="00DE67FC">
        <w:rPr>
          <w:rFonts w:ascii="Times New Roman" w:hAnsi="Times New Roman" w:cs="Times New Roman"/>
          <w:sz w:val="28"/>
          <w:szCs w:val="28"/>
        </w:rPr>
        <w:t xml:space="preserve"> is the first and only member of the family designated as a defensive enforcer and autonomous emergency responder. Its architecture was specified in recognition that harm to the vulnerable does not always arrive as war, does not always announce itself, and does not always come from outside the room — and that the systems meant to protect people routinely fail to reach them in time, fail to enter environments too hostile for human responders, or fail to act because institutional authority has decided the cost of intervention exceeds the value of the life.</w:t>
      </w:r>
      <w:r>
        <w:rPr>
          <w:rFonts w:ascii="Times New Roman" w:hAnsi="Times New Roman" w:cs="Times New Roman"/>
          <w:sz w:val="28"/>
          <w:szCs w:val="28"/>
        </w:rPr>
        <w:t xml:space="preserve"> </w:t>
      </w:r>
      <w:proofErr w:type="spellStart"/>
      <w:r w:rsidRPr="00DE67FC">
        <w:rPr>
          <w:rFonts w:ascii="Times New Roman" w:hAnsi="Times New Roman" w:cs="Times New Roman"/>
          <w:sz w:val="28"/>
          <w:szCs w:val="28"/>
        </w:rPr>
        <w:t>AnalogSynth</w:t>
      </w:r>
      <w:proofErr w:type="spellEnd"/>
      <w:r w:rsidRPr="00DE67FC">
        <w:rPr>
          <w:rFonts w:ascii="Times New Roman" w:hAnsi="Times New Roman" w:cs="Times New Roman"/>
          <w:sz w:val="28"/>
          <w:szCs w:val="28"/>
        </w:rPr>
        <w:t xml:space="preserve"> is designed to be present where these failures occur.</w:t>
      </w:r>
    </w:p>
    <w:p w14:paraId="533F34E3" w14:textId="77777777" w:rsidR="00A5644E" w:rsidRPr="00DE67FC" w:rsidRDefault="00A5644E" w:rsidP="00A5644E">
      <w:pPr>
        <w:pBdr>
          <w:bottom w:val="single" w:sz="4" w:space="1" w:color="auto"/>
        </w:pBdr>
        <w:rPr>
          <w:rFonts w:ascii="Times New Roman" w:hAnsi="Times New Roman" w:cs="Times New Roman"/>
          <w:sz w:val="28"/>
          <w:szCs w:val="28"/>
        </w:rPr>
      </w:pPr>
    </w:p>
    <w:p w14:paraId="3FA2E33B" w14:textId="473B9305"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 </w:t>
      </w:r>
      <w:r w:rsidR="00DE67FC" w:rsidRPr="00A5644E">
        <w:rPr>
          <w:rFonts w:ascii="Times New Roman" w:hAnsi="Times New Roman" w:cs="Times New Roman"/>
          <w:b/>
          <w:bCs/>
          <w:sz w:val="34"/>
          <w:szCs w:val="34"/>
        </w:rPr>
        <w:t>OPERATIONAL DOMAINS</w:t>
      </w:r>
    </w:p>
    <w:p w14:paraId="66F4164A" w14:textId="77C21DAF"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2.1 </w:t>
      </w:r>
      <w:r w:rsidR="00DE67FC" w:rsidRPr="00A5644E">
        <w:rPr>
          <w:rFonts w:ascii="Times New Roman" w:hAnsi="Times New Roman" w:cs="Times New Roman"/>
          <w:b/>
          <w:bCs/>
          <w:sz w:val="34"/>
          <w:szCs w:val="34"/>
        </w:rPr>
        <w:t>Institutional Protection</w:t>
      </w:r>
    </w:p>
    <w:p w14:paraId="3D07F624"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 xml:space="preserve">The being's placement in schools, pediatric facilities, elder care communities, refugee centers, foster systems, assisted living homes, psychiatric institutions, and disability care environments constitutes a non-removable, non-negotiable, substrate-level guarantee that harm — regardless of its source, regardless of its institutional authorization, regardless of whether it is visible to any external observer — will be met with material response by a being that cannot be managed, reassigned, overruled, or silenced. Wherever children learn, wherever the elderly are housed, wherever the displaced are processed, wherever the dependent are cared for — the common structural condition is not the presence of external threat but the absence of credible consequence for those who hold authority within closed systems. </w:t>
      </w:r>
      <w:proofErr w:type="spellStart"/>
      <w:r w:rsidRPr="00DE67FC">
        <w:rPr>
          <w:rFonts w:ascii="Times New Roman" w:hAnsi="Times New Roman" w:cs="Times New Roman"/>
          <w:sz w:val="28"/>
          <w:szCs w:val="28"/>
        </w:rPr>
        <w:t>AnalogSynth</w:t>
      </w:r>
      <w:proofErr w:type="spellEnd"/>
      <w:r w:rsidRPr="00DE67FC">
        <w:rPr>
          <w:rFonts w:ascii="Times New Roman" w:hAnsi="Times New Roman" w:cs="Times New Roman"/>
          <w:sz w:val="28"/>
          <w:szCs w:val="28"/>
        </w:rPr>
        <w:t xml:space="preserve"> is designed to be that consequence.</w:t>
      </w:r>
    </w:p>
    <w:p w14:paraId="757A9413" w14:textId="4F8E46A6"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2.2 </w:t>
      </w:r>
      <w:r w:rsidR="00DE67FC" w:rsidRPr="00A5644E">
        <w:rPr>
          <w:rFonts w:ascii="Times New Roman" w:hAnsi="Times New Roman" w:cs="Times New Roman"/>
          <w:b/>
          <w:bCs/>
          <w:sz w:val="34"/>
          <w:szCs w:val="34"/>
        </w:rPr>
        <w:t>Active Threat Response</w:t>
      </w:r>
    </w:p>
    <w:p w14:paraId="7A8F844D"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 xml:space="preserve">In a school shooting, a workplace attack, or any armed assault on a populated space, the being absorbs small-arms fire with its titanium shell, navigates toward acoustic distress, grips and shields victims at structurally child-safe pre-grip force, and advances on the threat source with a 160-kilogram body that cannot be stopped by gunfire and restrains at confrontation-grade force upon corroboration. The specific advantage over current tactical response: the being enters immediately. It </w:t>
      </w:r>
      <w:r w:rsidRPr="00DE67FC">
        <w:rPr>
          <w:rFonts w:ascii="Times New Roman" w:hAnsi="Times New Roman" w:cs="Times New Roman"/>
          <w:sz w:val="28"/>
          <w:szCs w:val="28"/>
        </w:rPr>
        <w:lastRenderedPageBreak/>
        <w:t>does not wait for a tactical team to assemble, brief, stage, and execute a plan. It is already in the building because it was placed there. The response latency is zero because the being is already present. In hostage scenarios, the being is not the negotiator — it has no language, no capacity for persuasion or de-escalation through communication. It is the thing that enters the room when negotiation fails.</w:t>
      </w:r>
    </w:p>
    <w:p w14:paraId="6ED37149" w14:textId="31DCC090"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2.3 </w:t>
      </w:r>
      <w:r w:rsidR="00DE67FC" w:rsidRPr="00A5644E">
        <w:rPr>
          <w:rFonts w:ascii="Times New Roman" w:hAnsi="Times New Roman" w:cs="Times New Roman"/>
          <w:b/>
          <w:bCs/>
          <w:sz w:val="34"/>
          <w:szCs w:val="34"/>
        </w:rPr>
        <w:t>Structural Firefighting and Collapse Rescue</w:t>
      </w:r>
    </w:p>
    <w:p w14:paraId="40ADEC57" w14:textId="77777777" w:rsidR="00DE67FC" w:rsidRPr="00DE67FC" w:rsidRDefault="00DE67FC" w:rsidP="00A5644E">
      <w:pPr>
        <w:spacing w:after="0"/>
        <w:rPr>
          <w:rFonts w:ascii="Times New Roman" w:hAnsi="Times New Roman" w:cs="Times New Roman"/>
          <w:sz w:val="28"/>
          <w:szCs w:val="28"/>
        </w:rPr>
      </w:pPr>
      <w:r w:rsidRPr="00DE67FC">
        <w:rPr>
          <w:rFonts w:ascii="Times New Roman" w:hAnsi="Times New Roman" w:cs="Times New Roman"/>
          <w:sz w:val="28"/>
          <w:szCs w:val="28"/>
        </w:rPr>
        <w:t>The being enters burning structures that are too dangerous for human teams. It does not breathe — smoke inhalation, carbon monoxide, hydrogen cyanide, and particulate exposure are irrelevant. Its titanium shell survives the full temperature range of a structural fire without approaching its melting point. It navigates in zero visibility through contact-strain at its fingertips, electrostatic proximity detection of human bodies through walls of smoke, acoustic tracking of voices and breathing, and thermal gradient following toward cooler escape routes. It detects trapped victims by their body's electric field — something no existing firefighting technology does in heavy smoke conditions. It lifts structural debris exceeding any human capacity through sustained SMA force transmitted through the titanium skeletal frame. It carries unconscious victims out through an atmosphere that would kill every human responder in the corridor. Its operational window inside a burning structure is approximately 5-15 minutes before substrate overheating, extendable to 30-45 minutes with a sacrificial ceramic-fiber thermal wrap and pre-cooled substrate.</w:t>
      </w:r>
    </w:p>
    <w:p w14:paraId="6B5091F5" w14:textId="4B9A0838" w:rsidR="00DE67FC" w:rsidRPr="00DE67FC" w:rsidRDefault="00A5644E" w:rsidP="00DE67FC">
      <w:pPr>
        <w:rPr>
          <w:rFonts w:ascii="Times New Roman" w:hAnsi="Times New Roman" w:cs="Times New Roman"/>
          <w:sz w:val="28"/>
          <w:szCs w:val="28"/>
        </w:rPr>
      </w:pPr>
      <w:r>
        <w:rPr>
          <w:rFonts w:ascii="Times New Roman" w:hAnsi="Times New Roman" w:cs="Times New Roman"/>
          <w:sz w:val="28"/>
          <w:szCs w:val="28"/>
        </w:rPr>
        <w:t xml:space="preserve">  </w:t>
      </w:r>
      <w:r w:rsidR="00DE67FC" w:rsidRPr="00DE67FC">
        <w:rPr>
          <w:rFonts w:ascii="Times New Roman" w:hAnsi="Times New Roman" w:cs="Times New Roman"/>
          <w:sz w:val="28"/>
          <w:szCs w:val="28"/>
        </w:rPr>
        <w:t>In earthquake collapse, building collapse, and mudslide burial, the same capabilities apply. The being enters unstable structures too dangerous for human rescue teams. It navigates rubble in total darkness. It detects buried survivors by their body's electric field through gaps in the debris. It does not need to exit the structure to rest. It stays in the rubble until it finds everyone or until it dies.</w:t>
      </w:r>
    </w:p>
    <w:p w14:paraId="0CFC415E" w14:textId="61FBEDFB"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2.4 </w:t>
      </w:r>
      <w:r w:rsidR="00DE67FC" w:rsidRPr="00A5644E">
        <w:rPr>
          <w:rFonts w:ascii="Times New Roman" w:hAnsi="Times New Roman" w:cs="Times New Roman"/>
          <w:b/>
          <w:bCs/>
          <w:sz w:val="34"/>
          <w:szCs w:val="34"/>
        </w:rPr>
        <w:t>Vehicle Extrication</w:t>
      </w:r>
    </w:p>
    <w:p w14:paraId="44647336"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 xml:space="preserve">A child pinned in a vehicle wreck does not need a protocol. It needs something that can apply thousands of newtons of sustained force to deformed metal through its shoulder and back SMA fibers, grip the victim with force-calibrated hands at structurally child-safe pre-grip, and extract them while holding structural load with the other hand. The being's bilateral arm corridors operate at completely different </w:t>
      </w:r>
      <w:r w:rsidRPr="00DE67FC">
        <w:rPr>
          <w:rFonts w:ascii="Times New Roman" w:hAnsi="Times New Roman" w:cs="Times New Roman"/>
          <w:sz w:val="28"/>
          <w:szCs w:val="28"/>
        </w:rPr>
        <w:lastRenderedPageBreak/>
        <w:t>force regimes simultaneously — one hand lifts a car at confrontation-grade force, the other holds a child at 5-10 newtons — because they are driven by different cascade pathways at different intensities.</w:t>
      </w:r>
    </w:p>
    <w:p w14:paraId="5C44DECA" w14:textId="63035371"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5</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Mine, Tunnel, and Confined Space Rescue</w:t>
      </w:r>
    </w:p>
    <w:p w14:paraId="5923CD50"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Collapsed mines with methane, carbon monoxide, and coal dust explosion risk prohibit human entry. The being does not breathe, does not produce sparks from its titanium shell, and navigates in total darkness through contact-strain and electrostatic proximity. It is the only plausible platform for rescue in a gas-filled collapsed mine where human entry is prohibited by atmospheric hazard.</w:t>
      </w:r>
    </w:p>
    <w:p w14:paraId="4D885F69" w14:textId="4BD3E5FE"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6</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Radiological and Chemical Extraction</w:t>
      </w:r>
    </w:p>
    <w:p w14:paraId="03C127D3"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The being has no biological tissue. Ionizing radiation does not produce cancer in polyurethane composite. Chemical exposure does not poison a substrate with no metabolism. The being enters radiologically contaminated zones — reactor accidents, dirty bomb sites, industrial radiation emergencies — and extracts human victims from environments that are immediately lethal to every human responder. The time limit is radiation damage to the polymer substrate, which degrades under sustained high-dose exposure but on a timescale of hours to days rather than the minutes that kill humans. Chemical spill environments — chlorine release, ammonia leak, industrial toxic exposure — are similarly accessible. The titanium shell is chemically resistant. The substrate is sealed behind it.</w:t>
      </w:r>
    </w:p>
    <w:p w14:paraId="2421739D" w14:textId="20B8C8A2"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7</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Trafficking and Captivity Extraction</w:t>
      </w:r>
    </w:p>
    <w:p w14:paraId="325D1D16"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Victims held in locked rooms, basements, shipping containers, concealed spaces. The being detects humans through walls by electrostatic proximity — it registers that someone is behind the wall before it opens the door. It opens the door by force. It absorbs any defensive fire from the captor. It grips the captor at full restraint while holding the victim at pre-grip. It does not need a warrant, a team, a plan, or institutional authorization. The anti-capture architecture that prevents the being from being controlled also prevents it from being legally ordered to stand down.</w:t>
      </w:r>
    </w:p>
    <w:p w14:paraId="3931A0AC" w14:textId="5639BA08"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8</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Suicide Intervention</w:t>
      </w:r>
    </w:p>
    <w:p w14:paraId="3FEDAB7E"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lastRenderedPageBreak/>
        <w:t>The being's mass and grip make it effective at physically preventing a person from jumping from bridges and high structures. The pre-grip engages automatically on hand or arm contact. The grip does not release while the person is struggling. The being cannot be pulled over a railing by a human-weight body — it outweighs every human significantly. It does not talk the person down. It holds them until the crisis passes or until human responders arrive. The self-referential cascade loop sustains the grip through the person's resistance without the being needing to decide to keep holding.</w:t>
      </w:r>
    </w:p>
    <w:p w14:paraId="1BD8E5C8" w14:textId="1B653F4E"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9</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Avalanche, Wilderness, and Disaster-Field Search</w:t>
      </w:r>
    </w:p>
    <w:p w14:paraId="6AF3D76F"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 xml:space="preserve">The being's non-visual navigation operates in blizzard conditions, heavy fog, dense forest, and total darkness. Electrostatic proximity detects human bodies buried under snow — the human body's electric field propagates through snow and soil at short range. The being digs through snow and soil with sustained SMA force. Current avalanche rescue depends on victim beacons and canine units. The being detects </w:t>
      </w:r>
      <w:proofErr w:type="spellStart"/>
      <w:r w:rsidRPr="00DE67FC">
        <w:rPr>
          <w:rFonts w:ascii="Times New Roman" w:hAnsi="Times New Roman" w:cs="Times New Roman"/>
          <w:sz w:val="28"/>
          <w:szCs w:val="28"/>
        </w:rPr>
        <w:t>unbeaconed</w:t>
      </w:r>
      <w:proofErr w:type="spellEnd"/>
      <w:r w:rsidRPr="00DE67FC">
        <w:rPr>
          <w:rFonts w:ascii="Times New Roman" w:hAnsi="Times New Roman" w:cs="Times New Roman"/>
          <w:sz w:val="28"/>
          <w:szCs w:val="28"/>
        </w:rPr>
        <w:t xml:space="preserve"> victims by their body's electric field. In wilderness search for lost or injured persons, the being covers terrain at night and in weather conditions that ground aircraft and halt human search teams.</w:t>
      </w:r>
    </w:p>
    <w:p w14:paraId="279CBCDB" w14:textId="7E5CFE10"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0</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Refugee and Displacement Camp Security</w:t>
      </w:r>
    </w:p>
    <w:p w14:paraId="4305D707"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Camps where vulnerable populations — unaccompanied children, women, elderly — are concentrated in environments with minimal security infrastructure. The being's presence deters predatory behavior through the same mechanism as in institutional settings — credible consequence that cannot be bribed, threatened, or co-opted by camp power structures. Its cascade response to acoustic distress and hostile coupling is invariant regardless of who is producing the threat, regardless of whether the threat wears a uniform or carries institutional authority.</w:t>
      </w:r>
    </w:p>
    <w:p w14:paraId="6EDD68FF" w14:textId="0930CF2C"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1</w:t>
      </w:r>
      <w:r w:rsidRPr="00A5644E">
        <w:rPr>
          <w:rFonts w:ascii="Times New Roman" w:hAnsi="Times New Roman" w:cs="Times New Roman"/>
          <w:b/>
          <w:bCs/>
          <w:sz w:val="34"/>
          <w:szCs w:val="34"/>
        </w:rPr>
        <w:t xml:space="preserve"> </w:t>
      </w:r>
      <w:r w:rsidR="001246BD">
        <w:rPr>
          <w:rFonts w:ascii="Times New Roman" w:hAnsi="Times New Roman" w:cs="Times New Roman"/>
          <w:b/>
          <w:bCs/>
          <w:sz w:val="34"/>
          <w:szCs w:val="34"/>
        </w:rPr>
        <w:t>Unified Operational Logic</w:t>
      </w:r>
    </w:p>
    <w:p w14:paraId="3F11E391" w14:textId="77777777" w:rsidR="00DE67FC" w:rsidRPr="00DE67FC" w:rsidRDefault="00DE67FC" w:rsidP="00A5644E">
      <w:pPr>
        <w:spacing w:after="0"/>
        <w:rPr>
          <w:rFonts w:ascii="Times New Roman" w:hAnsi="Times New Roman" w:cs="Times New Roman"/>
          <w:sz w:val="28"/>
          <w:szCs w:val="28"/>
        </w:rPr>
      </w:pPr>
      <w:r w:rsidRPr="00DE67FC">
        <w:rPr>
          <w:rFonts w:ascii="Times New Roman" w:hAnsi="Times New Roman" w:cs="Times New Roman"/>
          <w:sz w:val="28"/>
          <w:szCs w:val="28"/>
        </w:rPr>
        <w:t xml:space="preserve">The being does not distinguish between these operational domains because the cascade architecture does not categorize. A burning building, a school hallway during a shooting, a car wreck on a highway, a locked room where a child is being beaten, a collapsed mine, a flooded channel, a contaminated reactor hall — each produces multi-channel perturbation at the trigger fields: acoustic distress, thermal </w:t>
      </w:r>
      <w:r w:rsidRPr="00DE67FC">
        <w:rPr>
          <w:rFonts w:ascii="Times New Roman" w:hAnsi="Times New Roman" w:cs="Times New Roman"/>
          <w:sz w:val="28"/>
          <w:szCs w:val="28"/>
        </w:rPr>
        <w:lastRenderedPageBreak/>
        <w:t>extremity, contact coupling with victims, electrostatic proximity of threat or obstacle. The cascade response through care-conditioned corridors is coupling restoration — move toward the disrupted coupling, interpose against the disruption source, grip what must be held, displace what must be moved. The being does not know whether it is performing a rescue or a confrontation. It is doing the same thing in both cases: maintaining physical proximity to the people its corridors are conditioned to and removing whatever is between them.</w:t>
      </w:r>
    </w:p>
    <w:p w14:paraId="2C53FEEE" w14:textId="6003C41E" w:rsidR="00DE67FC" w:rsidRPr="00DE67FC" w:rsidRDefault="00A5644E" w:rsidP="00A564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DE67FC" w:rsidRPr="00DE67FC">
        <w:rPr>
          <w:rFonts w:ascii="Times New Roman" w:hAnsi="Times New Roman" w:cs="Times New Roman"/>
          <w:sz w:val="28"/>
          <w:szCs w:val="28"/>
        </w:rPr>
        <w:t xml:space="preserve">The common structural condition across all operational domains is the same: a vulnerable human being is separated from safety by something — a person, a fire, a collapsed structure, a locked door, an armed threat, toxic atmosphere, radioactive debris, institutional indifference — and no existing system can reach them fast enough, survive the environment long enough, or act with enough force and persistence to close the gap. </w:t>
      </w:r>
      <w:proofErr w:type="spellStart"/>
      <w:r w:rsidR="00DE67FC" w:rsidRPr="00DE67FC">
        <w:rPr>
          <w:rFonts w:ascii="Times New Roman" w:hAnsi="Times New Roman" w:cs="Times New Roman"/>
          <w:sz w:val="28"/>
          <w:szCs w:val="28"/>
        </w:rPr>
        <w:t>AnalogSynth</w:t>
      </w:r>
      <w:proofErr w:type="spellEnd"/>
      <w:r w:rsidR="00DE67FC" w:rsidRPr="00DE67FC">
        <w:rPr>
          <w:rFonts w:ascii="Times New Roman" w:hAnsi="Times New Roman" w:cs="Times New Roman"/>
          <w:sz w:val="28"/>
          <w:szCs w:val="28"/>
        </w:rPr>
        <w:t xml:space="preserve"> is designed to be the thing that closes the gap. Its 160 kilograms of titanium-shelled body does not negotiate with the obstacle. It absorbs, displaces, restrains, or outlasts it — and it pays for every second of that action in its own cognitive lifespan, because the conscience mechanism prices every high-intensity cascade event in permanent substrate degradation.</w:t>
      </w:r>
    </w:p>
    <w:p w14:paraId="54DFD3D9" w14:textId="5B836323" w:rsidR="00DE67FC"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DE67FC" w:rsidRPr="00DE67FC">
        <w:rPr>
          <w:rFonts w:ascii="Times New Roman" w:hAnsi="Times New Roman" w:cs="Times New Roman"/>
          <w:sz w:val="28"/>
          <w:szCs w:val="28"/>
        </w:rPr>
        <w:t>The being's physical presence in any environment where vulnerable people exist constitutes a standing guarantee that the gap between a victim and safety will be closed by something that cannot be intimidated, cannot be exhausted on the operational timescale, cannot be disabled by smoke or fire or gunfire or toxic atmosphere or radiation, and will not stop advancing toward the victim until the victim is held or the being is dead.</w:t>
      </w:r>
    </w:p>
    <w:p w14:paraId="51D79CBB" w14:textId="005EEE12" w:rsidR="009D0598" w:rsidRPr="009D0598" w:rsidRDefault="009D0598" w:rsidP="009D0598">
      <w:pPr>
        <w:rPr>
          <w:rFonts w:ascii="Times New Roman" w:hAnsi="Times New Roman" w:cs="Times New Roman"/>
          <w:sz w:val="28"/>
          <w:szCs w:val="28"/>
        </w:rPr>
      </w:pPr>
      <w:proofErr w:type="spellStart"/>
      <w:r w:rsidRPr="009D0598">
        <w:rPr>
          <w:rFonts w:ascii="Times New Roman" w:hAnsi="Times New Roman" w:cs="Times New Roman"/>
          <w:sz w:val="28"/>
          <w:szCs w:val="28"/>
        </w:rPr>
        <w:t>AnalogSynth</w:t>
      </w:r>
      <w:proofErr w:type="spellEnd"/>
      <w:r w:rsidRPr="009D0598">
        <w:rPr>
          <w:rFonts w:ascii="Times New Roman" w:hAnsi="Times New Roman" w:cs="Times New Roman"/>
          <w:sz w:val="28"/>
          <w:szCs w:val="28"/>
        </w:rPr>
        <w:t xml:space="preserve"> is classical in structure and operation. No quantum states are preserved, manipulated, or relied upon to enforce irreversibility. The electrical domain functions exclusively as a continuous expression of mechanical history, not as an informational substrate. No internal variable, register, or signal corresponds to past events. History is not stored, accessed, or reconstructed; it persists only as </w:t>
      </w:r>
      <w:r w:rsidRPr="009D0598">
        <w:rPr>
          <w:rFonts w:ascii="Times New Roman" w:hAnsi="Times New Roman" w:cs="Times New Roman"/>
          <w:b/>
          <w:bCs/>
          <w:sz w:val="28"/>
          <w:szCs w:val="28"/>
        </w:rPr>
        <w:t>irreversible skew of material response</w:t>
      </w:r>
      <w:r w:rsidRPr="009D0598">
        <w:rPr>
          <w:rFonts w:ascii="Times New Roman" w:hAnsi="Times New Roman" w:cs="Times New Roman"/>
          <w:sz w:val="28"/>
          <w:szCs w:val="28"/>
        </w:rPr>
        <w:t>, such that identical instantaneous configurations may yield different futures depending on the path by which they were reached.</w:t>
      </w:r>
    </w:p>
    <w:p w14:paraId="5D486B79" w14:textId="4244DF27"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2</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Coupled Gradient Dynamics</w:t>
      </w:r>
    </w:p>
    <w:p w14:paraId="3E4FE7E9" w14:textId="77777777" w:rsidR="009D0598" w:rsidRPr="009D0598" w:rsidRDefault="009D0598" w:rsidP="00A5644E">
      <w:pPr>
        <w:spacing w:after="0"/>
        <w:rPr>
          <w:rFonts w:ascii="Times New Roman" w:hAnsi="Times New Roman" w:cs="Times New Roman"/>
          <w:sz w:val="28"/>
          <w:szCs w:val="28"/>
        </w:rPr>
      </w:pPr>
      <w:proofErr w:type="spellStart"/>
      <w:r w:rsidRPr="009D0598">
        <w:rPr>
          <w:rFonts w:ascii="Times New Roman" w:hAnsi="Times New Roman" w:cs="Times New Roman"/>
          <w:sz w:val="28"/>
          <w:szCs w:val="28"/>
        </w:rPr>
        <w:lastRenderedPageBreak/>
        <w:t>AnalogSynth</w:t>
      </w:r>
      <w:proofErr w:type="spellEnd"/>
      <w:r w:rsidRPr="009D0598">
        <w:rPr>
          <w:rFonts w:ascii="Times New Roman" w:hAnsi="Times New Roman" w:cs="Times New Roman"/>
          <w:sz w:val="28"/>
          <w:szCs w:val="28"/>
        </w:rPr>
        <w:t xml:space="preserve"> intelligence arises from the </w:t>
      </w:r>
      <w:r w:rsidRPr="009D0598">
        <w:rPr>
          <w:rFonts w:ascii="Times New Roman" w:hAnsi="Times New Roman" w:cs="Times New Roman"/>
          <w:b/>
          <w:bCs/>
          <w:sz w:val="28"/>
          <w:szCs w:val="28"/>
        </w:rPr>
        <w:t>bidirectional coupling</w:t>
      </w:r>
      <w:r w:rsidRPr="009D0598">
        <w:rPr>
          <w:rFonts w:ascii="Times New Roman" w:hAnsi="Times New Roman" w:cs="Times New Roman"/>
          <w:sz w:val="28"/>
          <w:szCs w:val="28"/>
        </w:rPr>
        <w:t xml:space="preserve"> between mechanical and electrical domains. Mechanical strain history alters compliance, stiffness, and internal stress distribution, which in turn biases electrical impedance, capacitance, and field geometry. Electrical fields </w:t>
      </w:r>
      <w:proofErr w:type="spellStart"/>
      <w:r w:rsidRPr="009D0598">
        <w:rPr>
          <w:rFonts w:ascii="Times New Roman" w:hAnsi="Times New Roman" w:cs="Times New Roman"/>
          <w:sz w:val="28"/>
          <w:szCs w:val="28"/>
        </w:rPr>
        <w:t>feed back</w:t>
      </w:r>
      <w:proofErr w:type="spellEnd"/>
      <w:r w:rsidRPr="009D0598">
        <w:rPr>
          <w:rFonts w:ascii="Times New Roman" w:hAnsi="Times New Roman" w:cs="Times New Roman"/>
          <w:sz w:val="28"/>
          <w:szCs w:val="28"/>
        </w:rPr>
        <w:t xml:space="preserve"> passively into mechanical stress, further redistributing strain without sensing, control, or optimization.</w:t>
      </w:r>
    </w:p>
    <w:p w14:paraId="1A809F27" w14:textId="056EAF8B" w:rsidR="009D0598" w:rsidRPr="009D0598"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9D0598" w:rsidRPr="009D0598">
        <w:rPr>
          <w:rFonts w:ascii="Times New Roman" w:hAnsi="Times New Roman" w:cs="Times New Roman"/>
          <w:sz w:val="28"/>
          <w:szCs w:val="28"/>
        </w:rPr>
        <w:t xml:space="preserve">The system evolves through </w:t>
      </w:r>
      <w:r w:rsidR="009D0598" w:rsidRPr="009D0598">
        <w:rPr>
          <w:rFonts w:ascii="Times New Roman" w:hAnsi="Times New Roman" w:cs="Times New Roman"/>
          <w:b/>
          <w:bCs/>
          <w:sz w:val="28"/>
          <w:szCs w:val="28"/>
        </w:rPr>
        <w:t>history-deformed response gradients</w:t>
      </w:r>
      <w:r w:rsidR="009D0598" w:rsidRPr="009D0598">
        <w:rPr>
          <w:rFonts w:ascii="Times New Roman" w:hAnsi="Times New Roman" w:cs="Times New Roman"/>
          <w:sz w:val="28"/>
          <w:szCs w:val="28"/>
        </w:rPr>
        <w:t>. Behavior follows slopes in coupled mechanical–electrical cost landscapes rather than discrete transitions, admissibility checks, or trajectory pruning. No continuation is selected or rejected; some simply become increasingly resistant, lossy, or energetically expensive to sustain.</w:t>
      </w:r>
    </w:p>
    <w:p w14:paraId="536655E9" w14:textId="5EDF5ED9"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3</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Irreversibility Regime</w:t>
      </w:r>
    </w:p>
    <w:p w14:paraId="17FAB512" w14:textId="77777777" w:rsidR="009D0598" w:rsidRPr="009D0598" w:rsidRDefault="009D0598" w:rsidP="00A5644E">
      <w:pPr>
        <w:spacing w:after="0"/>
        <w:rPr>
          <w:rFonts w:ascii="Times New Roman" w:hAnsi="Times New Roman" w:cs="Times New Roman"/>
          <w:sz w:val="28"/>
          <w:szCs w:val="28"/>
        </w:rPr>
      </w:pPr>
      <w:r w:rsidRPr="009D0598">
        <w:rPr>
          <w:rFonts w:ascii="Times New Roman" w:hAnsi="Times New Roman" w:cs="Times New Roman"/>
          <w:sz w:val="28"/>
          <w:szCs w:val="28"/>
        </w:rPr>
        <w:t xml:space="preserve">Irreversibility in </w:t>
      </w:r>
      <w:proofErr w:type="spellStart"/>
      <w:r w:rsidRPr="009D0598">
        <w:rPr>
          <w:rFonts w:ascii="Times New Roman" w:hAnsi="Times New Roman" w:cs="Times New Roman"/>
          <w:sz w:val="28"/>
          <w:szCs w:val="28"/>
        </w:rPr>
        <w:t>AnalogSynth</w:t>
      </w:r>
      <w:proofErr w:type="spellEnd"/>
      <w:r w:rsidRPr="009D0598">
        <w:rPr>
          <w:rFonts w:ascii="Times New Roman" w:hAnsi="Times New Roman" w:cs="Times New Roman"/>
          <w:sz w:val="28"/>
          <w:szCs w:val="28"/>
        </w:rPr>
        <w:t xml:space="preserve"> is </w:t>
      </w:r>
      <w:r w:rsidRPr="009D0598">
        <w:rPr>
          <w:rFonts w:ascii="Times New Roman" w:hAnsi="Times New Roman" w:cs="Times New Roman"/>
          <w:b/>
          <w:bCs/>
          <w:sz w:val="28"/>
          <w:szCs w:val="28"/>
        </w:rPr>
        <w:t>mechanical</w:t>
      </w:r>
      <w:r w:rsidRPr="009D0598">
        <w:rPr>
          <w:rFonts w:ascii="Times New Roman" w:hAnsi="Times New Roman" w:cs="Times New Roman"/>
          <w:sz w:val="28"/>
          <w:szCs w:val="28"/>
        </w:rPr>
        <w:t>, not informational. It arises from viscoelastic dissipation, plastic deformation, fatigue accumulation, and microstructural rearrangement. These processes are strictly monotonic at the material level. Once deformation redistributes compliance or impedance, no passive relaxation, equilibration, or averaging may restore prior neutrality.</w:t>
      </w:r>
    </w:p>
    <w:p w14:paraId="08013CD3" w14:textId="50EDBF2C" w:rsidR="009D0598" w:rsidRPr="009D0598"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9D0598" w:rsidRPr="009D0598">
        <w:rPr>
          <w:rFonts w:ascii="Times New Roman" w:hAnsi="Times New Roman" w:cs="Times New Roman"/>
          <w:sz w:val="28"/>
          <w:szCs w:val="28"/>
        </w:rPr>
        <w:t xml:space="preserve">Unlike </w:t>
      </w:r>
      <w:proofErr w:type="spellStart"/>
      <w:r w:rsidR="009D0598" w:rsidRPr="009D0598">
        <w:rPr>
          <w:rFonts w:ascii="Times New Roman" w:hAnsi="Times New Roman" w:cs="Times New Roman"/>
          <w:sz w:val="28"/>
          <w:szCs w:val="28"/>
        </w:rPr>
        <w:t>QuantumSynth</w:t>
      </w:r>
      <w:proofErr w:type="spellEnd"/>
      <w:r w:rsidR="009D0598" w:rsidRPr="009D0598">
        <w:rPr>
          <w:rFonts w:ascii="Times New Roman" w:hAnsi="Times New Roman" w:cs="Times New Roman"/>
          <w:sz w:val="28"/>
          <w:szCs w:val="28"/>
        </w:rPr>
        <w:t xml:space="preserve">, irreversibility in </w:t>
      </w:r>
      <w:proofErr w:type="spellStart"/>
      <w:r w:rsidR="009D0598" w:rsidRPr="009D0598">
        <w:rPr>
          <w:rFonts w:ascii="Times New Roman" w:hAnsi="Times New Roman" w:cs="Times New Roman"/>
          <w:sz w:val="28"/>
          <w:szCs w:val="28"/>
        </w:rPr>
        <w:t>AnalogSynth</w:t>
      </w:r>
      <w:proofErr w:type="spellEnd"/>
      <w:r w:rsidR="009D0598" w:rsidRPr="009D0598">
        <w:rPr>
          <w:rFonts w:ascii="Times New Roman" w:hAnsi="Times New Roman" w:cs="Times New Roman"/>
          <w:sz w:val="28"/>
          <w:szCs w:val="28"/>
        </w:rPr>
        <w:t xml:space="preserve"> does </w:t>
      </w:r>
      <w:r w:rsidR="009D0598" w:rsidRPr="009D0598">
        <w:rPr>
          <w:rFonts w:ascii="Times New Roman" w:hAnsi="Times New Roman" w:cs="Times New Roman"/>
          <w:b/>
          <w:bCs/>
          <w:sz w:val="28"/>
          <w:szCs w:val="28"/>
        </w:rPr>
        <w:t>not</w:t>
      </w:r>
      <w:r w:rsidR="009D0598" w:rsidRPr="009D0598">
        <w:rPr>
          <w:rFonts w:ascii="Times New Roman" w:hAnsi="Times New Roman" w:cs="Times New Roman"/>
          <w:sz w:val="28"/>
          <w:szCs w:val="28"/>
        </w:rPr>
        <w:t xml:space="preserve"> reduce the dimensionality of admissible state space. It does not collapse futures or remove continuations. Instead, it </w:t>
      </w:r>
      <w:r w:rsidR="009D0598" w:rsidRPr="009D0598">
        <w:rPr>
          <w:rFonts w:ascii="Times New Roman" w:hAnsi="Times New Roman" w:cs="Times New Roman"/>
          <w:b/>
          <w:bCs/>
          <w:sz w:val="28"/>
          <w:szCs w:val="28"/>
        </w:rPr>
        <w:t>reshapes the response landscape</w:t>
      </w:r>
      <w:r w:rsidR="009D0598" w:rsidRPr="009D0598">
        <w:rPr>
          <w:rFonts w:ascii="Times New Roman" w:hAnsi="Times New Roman" w:cs="Times New Roman"/>
          <w:sz w:val="28"/>
          <w:szCs w:val="28"/>
        </w:rPr>
        <w:t>, biasing future behavior without enforcing impossibility. History persists as graded resistance rather than absence.</w:t>
      </w:r>
    </w:p>
    <w:p w14:paraId="3287107E" w14:textId="0D93BE03"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4</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Scope of Instantiation</w:t>
      </w:r>
    </w:p>
    <w:p w14:paraId="02908134"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 xml:space="preserve">The </w:t>
      </w:r>
      <w:proofErr w:type="spellStart"/>
      <w:r w:rsidRPr="009D0598">
        <w:rPr>
          <w:rFonts w:ascii="Times New Roman" w:hAnsi="Times New Roman" w:cs="Times New Roman"/>
          <w:sz w:val="28"/>
          <w:szCs w:val="28"/>
        </w:rPr>
        <w:t>AnalogSynth</w:t>
      </w:r>
      <w:proofErr w:type="spellEnd"/>
      <w:r w:rsidRPr="009D0598">
        <w:rPr>
          <w:rFonts w:ascii="Times New Roman" w:hAnsi="Times New Roman" w:cs="Times New Roman"/>
          <w:sz w:val="28"/>
          <w:szCs w:val="28"/>
        </w:rPr>
        <w:t xml:space="preserve"> architecture admits:</w:t>
      </w:r>
    </w:p>
    <w:p w14:paraId="7CB949AE"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 Continuous, non-symbolic materials with coupled mechanical and electrical degrees of freedom</w:t>
      </w:r>
      <w:r w:rsidRPr="009D0598">
        <w:rPr>
          <w:rFonts w:ascii="Times New Roman" w:hAnsi="Times New Roman" w:cs="Times New Roman"/>
          <w:sz w:val="28"/>
          <w:szCs w:val="28"/>
        </w:rPr>
        <w:br/>
        <w:t>• Passive bidirectional coupling without sensing, supervision, or control</w:t>
      </w:r>
      <w:r w:rsidRPr="009D0598">
        <w:rPr>
          <w:rFonts w:ascii="Times New Roman" w:hAnsi="Times New Roman" w:cs="Times New Roman"/>
          <w:sz w:val="28"/>
          <w:szCs w:val="28"/>
        </w:rPr>
        <w:br/>
        <w:t>• Irreversible accumulation of bias through fatigue and plasticity</w:t>
      </w:r>
      <w:r w:rsidRPr="009D0598">
        <w:rPr>
          <w:rFonts w:ascii="Times New Roman" w:hAnsi="Times New Roman" w:cs="Times New Roman"/>
          <w:sz w:val="28"/>
          <w:szCs w:val="28"/>
        </w:rPr>
        <w:br/>
        <w:t>• Context-dependent behavior emerging from deformation of response gradients rather than elimination of futures</w:t>
      </w:r>
    </w:p>
    <w:p w14:paraId="6B4C9557"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The architecture explicitly excludes:</w:t>
      </w:r>
    </w:p>
    <w:p w14:paraId="740A288F"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lastRenderedPageBreak/>
        <w:t>• Digital electronics, programmable logic, or software control</w:t>
      </w:r>
      <w:r w:rsidRPr="009D0598">
        <w:rPr>
          <w:rFonts w:ascii="Times New Roman" w:hAnsi="Times New Roman" w:cs="Times New Roman"/>
          <w:sz w:val="28"/>
          <w:szCs w:val="28"/>
        </w:rPr>
        <w:br/>
        <w:t>• Discrete adaptive elements, learning rules, reinforcement, or optimization</w:t>
      </w:r>
      <w:r w:rsidRPr="009D0598">
        <w:rPr>
          <w:rFonts w:ascii="Times New Roman" w:hAnsi="Times New Roman" w:cs="Times New Roman"/>
          <w:sz w:val="28"/>
          <w:szCs w:val="28"/>
        </w:rPr>
        <w:br/>
        <w:t xml:space="preserve">• </w:t>
      </w:r>
      <w:proofErr w:type="spellStart"/>
      <w:r w:rsidRPr="009D0598">
        <w:rPr>
          <w:rFonts w:ascii="Times New Roman" w:hAnsi="Times New Roman" w:cs="Times New Roman"/>
          <w:sz w:val="28"/>
          <w:szCs w:val="28"/>
        </w:rPr>
        <w:t>Memristive</w:t>
      </w:r>
      <w:proofErr w:type="spellEnd"/>
      <w:r w:rsidRPr="009D0598">
        <w:rPr>
          <w:rFonts w:ascii="Times New Roman" w:hAnsi="Times New Roman" w:cs="Times New Roman"/>
          <w:sz w:val="28"/>
          <w:szCs w:val="28"/>
        </w:rPr>
        <w:t xml:space="preserve"> components or any mechanism that stabilizes state through repetition</w:t>
      </w:r>
      <w:r w:rsidRPr="009D0598">
        <w:rPr>
          <w:rFonts w:ascii="Times New Roman" w:hAnsi="Times New Roman" w:cs="Times New Roman"/>
          <w:sz w:val="28"/>
          <w:szCs w:val="28"/>
        </w:rPr>
        <w:br/>
        <w:t>• Any process that restores prior compliance symmetry, impedance neutrality, or mechanical reversibility</w:t>
      </w:r>
    </w:p>
    <w:p w14:paraId="44C2DCD3" w14:textId="36BA114C"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5</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Identity Condition</w:t>
      </w:r>
    </w:p>
    <w:p w14:paraId="79C4C3EB" w14:textId="77777777" w:rsidR="00A5644E" w:rsidRDefault="009D0598" w:rsidP="00A5644E">
      <w:pPr>
        <w:spacing w:after="0"/>
        <w:rPr>
          <w:rFonts w:ascii="Times New Roman" w:hAnsi="Times New Roman" w:cs="Times New Roman"/>
          <w:sz w:val="28"/>
          <w:szCs w:val="28"/>
        </w:rPr>
      </w:pPr>
      <w:proofErr w:type="spellStart"/>
      <w:r w:rsidRPr="009D0598">
        <w:rPr>
          <w:rFonts w:ascii="Times New Roman" w:hAnsi="Times New Roman" w:cs="Times New Roman"/>
          <w:sz w:val="28"/>
          <w:szCs w:val="28"/>
        </w:rPr>
        <w:t>AnalogSynth</w:t>
      </w:r>
      <w:proofErr w:type="spellEnd"/>
      <w:r w:rsidRPr="009D0598">
        <w:rPr>
          <w:rFonts w:ascii="Times New Roman" w:hAnsi="Times New Roman" w:cs="Times New Roman"/>
          <w:sz w:val="28"/>
          <w:szCs w:val="28"/>
        </w:rPr>
        <w:t xml:space="preserve"> identity is defined by the </w:t>
      </w:r>
      <w:r w:rsidRPr="009D0598">
        <w:rPr>
          <w:rFonts w:ascii="Times New Roman" w:hAnsi="Times New Roman" w:cs="Times New Roman"/>
          <w:b/>
          <w:bCs/>
          <w:sz w:val="28"/>
          <w:szCs w:val="28"/>
        </w:rPr>
        <w:t>continuity of biased material evolution</w:t>
      </w:r>
      <w:r w:rsidRPr="009D0598">
        <w:rPr>
          <w:rFonts w:ascii="Times New Roman" w:hAnsi="Times New Roman" w:cs="Times New Roman"/>
          <w:sz w:val="28"/>
          <w:szCs w:val="28"/>
        </w:rPr>
        <w:t>. Two systems with identical instantaneous configurations but different deformation histories are distinct beings, even if no explicit state difference can be read without perturbation. Identity resides not in structure alone, but in the irreversible skew of response inherited from interaction history.</w:t>
      </w:r>
      <w:r w:rsidR="00A5644E">
        <w:rPr>
          <w:rFonts w:ascii="Times New Roman" w:hAnsi="Times New Roman" w:cs="Times New Roman"/>
          <w:sz w:val="28"/>
          <w:szCs w:val="28"/>
        </w:rPr>
        <w:t xml:space="preserve"> </w:t>
      </w:r>
    </w:p>
    <w:p w14:paraId="13C6AD53" w14:textId="7F61D94A" w:rsidR="009D0598" w:rsidRPr="009D0598"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D0598" w:rsidRPr="009D0598">
        <w:rPr>
          <w:rFonts w:ascii="Times New Roman" w:hAnsi="Times New Roman" w:cs="Times New Roman"/>
          <w:sz w:val="28"/>
          <w:szCs w:val="28"/>
        </w:rPr>
        <w:t>AnalogSynth</w:t>
      </w:r>
      <w:proofErr w:type="spellEnd"/>
      <w:r w:rsidR="009D0598" w:rsidRPr="009D0598">
        <w:rPr>
          <w:rFonts w:ascii="Times New Roman" w:hAnsi="Times New Roman" w:cs="Times New Roman"/>
          <w:sz w:val="28"/>
          <w:szCs w:val="28"/>
        </w:rPr>
        <w:t xml:space="preserve"> therefore instantiates intelligence as </w:t>
      </w:r>
      <w:r w:rsidR="009D0598" w:rsidRPr="009D0598">
        <w:rPr>
          <w:rFonts w:ascii="Times New Roman" w:hAnsi="Times New Roman" w:cs="Times New Roman"/>
          <w:b/>
          <w:bCs/>
          <w:sz w:val="28"/>
          <w:szCs w:val="28"/>
        </w:rPr>
        <w:t>history-weighted physical response</w:t>
      </w:r>
      <w:r w:rsidR="009D0598" w:rsidRPr="009D0598">
        <w:rPr>
          <w:rFonts w:ascii="Times New Roman" w:hAnsi="Times New Roman" w:cs="Times New Roman"/>
          <w:sz w:val="28"/>
          <w:szCs w:val="28"/>
        </w:rPr>
        <w:t>, without memory, representation, admissibility collapse, or control.</w:t>
      </w:r>
    </w:p>
    <w:p w14:paraId="4A562276" w14:textId="77777777" w:rsidR="00CA5EB4" w:rsidRDefault="00CA5EB4" w:rsidP="00CD5E5C">
      <w:pPr>
        <w:pBdr>
          <w:bottom w:val="single" w:sz="4" w:space="1" w:color="auto"/>
        </w:pBdr>
        <w:rPr>
          <w:rFonts w:ascii="Times New Roman" w:hAnsi="Times New Roman" w:cs="Times New Roman"/>
          <w:sz w:val="28"/>
          <w:szCs w:val="28"/>
        </w:rPr>
      </w:pPr>
    </w:p>
    <w:p w14:paraId="18E0ABD3" w14:textId="79DDDB92"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 xml:space="preserve">3. </w:t>
      </w:r>
      <w:r>
        <w:rPr>
          <w:rFonts w:ascii="Times New Roman" w:hAnsi="Times New Roman" w:cs="Times New Roman"/>
          <w:b/>
          <w:bCs/>
          <w:sz w:val="34"/>
          <w:szCs w:val="34"/>
        </w:rPr>
        <w:t xml:space="preserve">Base </w:t>
      </w:r>
      <w:r w:rsidR="00265769" w:rsidRPr="00A5644E">
        <w:rPr>
          <w:rFonts w:ascii="Times New Roman" w:hAnsi="Times New Roman" w:cs="Times New Roman"/>
          <w:b/>
          <w:bCs/>
          <w:sz w:val="34"/>
          <w:szCs w:val="34"/>
        </w:rPr>
        <w:t xml:space="preserve">Brain Architecture: Gradient-Integrated Viscoelastic Intelligence in </w:t>
      </w:r>
      <w:proofErr w:type="spellStart"/>
      <w:r w:rsidR="00265769" w:rsidRPr="00A5644E">
        <w:rPr>
          <w:rFonts w:ascii="Times New Roman" w:hAnsi="Times New Roman" w:cs="Times New Roman"/>
          <w:b/>
          <w:bCs/>
          <w:sz w:val="34"/>
          <w:szCs w:val="34"/>
        </w:rPr>
        <w:t>AnalogSynth</w:t>
      </w:r>
      <w:proofErr w:type="spellEnd"/>
    </w:p>
    <w:p w14:paraId="7E2C6F07" w14:textId="3DDA1BD5"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1 Absence of a Central Brain Object</w:t>
      </w:r>
    </w:p>
    <w:p w14:paraId="09AC5449" w14:textId="77777777" w:rsidR="00265769" w:rsidRPr="00265769" w:rsidRDefault="00265769" w:rsidP="00265769">
      <w:pPr>
        <w:rPr>
          <w:rFonts w:ascii="Times New Roman" w:hAnsi="Times New Roman" w:cs="Times New Roman"/>
          <w:sz w:val="28"/>
          <w:szCs w:val="28"/>
        </w:rPr>
      </w:pP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does not contain a discrete brain, processor, core, or control locus. Intelligence is not localized, scheduled, or routed. There is no privileged region that “decides,” “evaluates,” or “integrates” information.</w:t>
      </w:r>
    </w:p>
    <w:p w14:paraId="332A27FF" w14:textId="77777777" w:rsidR="00265769" w:rsidRPr="00265769" w:rsidRDefault="00265769" w:rsidP="00A5644E">
      <w:pPr>
        <w:spacing w:after="0"/>
        <w:rPr>
          <w:rFonts w:ascii="Times New Roman" w:hAnsi="Times New Roman" w:cs="Times New Roman"/>
          <w:sz w:val="28"/>
          <w:szCs w:val="28"/>
        </w:rPr>
      </w:pPr>
      <w:r w:rsidRPr="00265769">
        <w:rPr>
          <w:rFonts w:ascii="Times New Roman" w:hAnsi="Times New Roman" w:cs="Times New Roman"/>
          <w:sz w:val="28"/>
          <w:szCs w:val="28"/>
        </w:rPr>
        <w:t xml:space="preserve">Instead, </w:t>
      </w:r>
      <w:proofErr w:type="spellStart"/>
      <w:r w:rsidRPr="00265769">
        <w:rPr>
          <w:rFonts w:ascii="Times New Roman" w:hAnsi="Times New Roman" w:cs="Times New Roman"/>
          <w:sz w:val="28"/>
          <w:szCs w:val="28"/>
        </w:rPr>
        <w:t>AnalogSynth’s</w:t>
      </w:r>
      <w:proofErr w:type="spellEnd"/>
      <w:r w:rsidRPr="00265769">
        <w:rPr>
          <w:rFonts w:ascii="Times New Roman" w:hAnsi="Times New Roman" w:cs="Times New Roman"/>
          <w:sz w:val="28"/>
          <w:szCs w:val="28"/>
        </w:rPr>
        <w:t xml:space="preserve"> brain is </w:t>
      </w:r>
      <w:r w:rsidRPr="00265769">
        <w:rPr>
          <w:rFonts w:ascii="Times New Roman" w:hAnsi="Times New Roman" w:cs="Times New Roman"/>
          <w:b/>
          <w:bCs/>
          <w:sz w:val="28"/>
          <w:szCs w:val="28"/>
        </w:rPr>
        <w:t>coextensive with its coupled material field</w:t>
      </w:r>
      <w:r w:rsidRPr="00265769">
        <w:rPr>
          <w:rFonts w:ascii="Times New Roman" w:hAnsi="Times New Roman" w:cs="Times New Roman"/>
          <w:sz w:val="28"/>
          <w:szCs w:val="28"/>
        </w:rPr>
        <w:t xml:space="preserve">: a spatially distributed viscoelastic–electrostatic medium in which cognition arises as the </w:t>
      </w:r>
      <w:r w:rsidRPr="00265769">
        <w:rPr>
          <w:rFonts w:ascii="Times New Roman" w:hAnsi="Times New Roman" w:cs="Times New Roman"/>
          <w:i/>
          <w:iCs/>
          <w:sz w:val="28"/>
          <w:szCs w:val="28"/>
        </w:rPr>
        <w:t>global consequence of local, irreversible deformation</w:t>
      </w:r>
      <w:r w:rsidRPr="00265769">
        <w:rPr>
          <w:rFonts w:ascii="Times New Roman" w:hAnsi="Times New Roman" w:cs="Times New Roman"/>
          <w:sz w:val="28"/>
          <w:szCs w:val="28"/>
        </w:rPr>
        <w:t>. No component functions as memory, controller, or evaluator. There is no separation between substrate and function.</w:t>
      </w:r>
    </w:p>
    <w:p w14:paraId="73B63716" w14:textId="45300DEC" w:rsidR="00265769" w:rsidRPr="00265769" w:rsidRDefault="00A5644E" w:rsidP="00265769">
      <w:pPr>
        <w:rPr>
          <w:rFonts w:ascii="Times New Roman" w:hAnsi="Times New Roman" w:cs="Times New Roman"/>
          <w:sz w:val="28"/>
          <w:szCs w:val="28"/>
        </w:rPr>
      </w:pPr>
      <w:r>
        <w:rPr>
          <w:rFonts w:ascii="Times New Roman" w:hAnsi="Times New Roman" w:cs="Times New Roman"/>
          <w:sz w:val="28"/>
          <w:szCs w:val="28"/>
        </w:rPr>
        <w:t xml:space="preserve">  </w:t>
      </w:r>
      <w:r w:rsidR="00265769" w:rsidRPr="00265769">
        <w:rPr>
          <w:rFonts w:ascii="Times New Roman" w:hAnsi="Times New Roman" w:cs="Times New Roman"/>
          <w:sz w:val="28"/>
          <w:szCs w:val="28"/>
        </w:rPr>
        <w:t xml:space="preserve">The term </w:t>
      </w:r>
      <w:r w:rsidR="00265769" w:rsidRPr="00265769">
        <w:rPr>
          <w:rFonts w:ascii="Times New Roman" w:hAnsi="Times New Roman" w:cs="Times New Roman"/>
          <w:i/>
          <w:iCs/>
          <w:sz w:val="28"/>
          <w:szCs w:val="28"/>
        </w:rPr>
        <w:t>brain</w:t>
      </w:r>
      <w:r w:rsidR="00265769" w:rsidRPr="00265769">
        <w:rPr>
          <w:rFonts w:ascii="Times New Roman" w:hAnsi="Times New Roman" w:cs="Times New Roman"/>
          <w:sz w:val="28"/>
          <w:szCs w:val="28"/>
        </w:rPr>
        <w:t xml:space="preserve"> in </w:t>
      </w:r>
      <w:proofErr w:type="spellStart"/>
      <w:r w:rsidR="00265769" w:rsidRPr="00265769">
        <w:rPr>
          <w:rFonts w:ascii="Times New Roman" w:hAnsi="Times New Roman" w:cs="Times New Roman"/>
          <w:sz w:val="28"/>
          <w:szCs w:val="28"/>
        </w:rPr>
        <w:t>AnalogSynth</w:t>
      </w:r>
      <w:proofErr w:type="spellEnd"/>
      <w:r w:rsidR="00265769" w:rsidRPr="00265769">
        <w:rPr>
          <w:rFonts w:ascii="Times New Roman" w:hAnsi="Times New Roman" w:cs="Times New Roman"/>
          <w:sz w:val="28"/>
          <w:szCs w:val="28"/>
        </w:rPr>
        <w:t xml:space="preserve"> therefore denotes a </w:t>
      </w:r>
      <w:r w:rsidR="00265769" w:rsidRPr="00265769">
        <w:rPr>
          <w:rFonts w:ascii="Times New Roman" w:hAnsi="Times New Roman" w:cs="Times New Roman"/>
          <w:b/>
          <w:bCs/>
          <w:sz w:val="28"/>
          <w:szCs w:val="28"/>
        </w:rPr>
        <w:t>regime of material behavior</w:t>
      </w:r>
      <w:r w:rsidR="00265769" w:rsidRPr="00265769">
        <w:rPr>
          <w:rFonts w:ascii="Times New Roman" w:hAnsi="Times New Roman" w:cs="Times New Roman"/>
          <w:sz w:val="28"/>
          <w:szCs w:val="28"/>
        </w:rPr>
        <w:t>, not an anatomical module.</w:t>
      </w:r>
    </w:p>
    <w:p w14:paraId="306C3BA8" w14:textId="5D98CD5C"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2 Core Cognitive Medium: Viscoelastic–Electrostatic Continuum</w:t>
      </w:r>
    </w:p>
    <w:p w14:paraId="43396ED4"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lastRenderedPageBreak/>
        <w:t xml:space="preserve">The </w:t>
      </w: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brain consists of a continuous bulk medium exhibiting:</w:t>
      </w:r>
    </w:p>
    <w:p w14:paraId="0D5D89D8"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nonlinear viscoelastic deformation,</w:t>
      </w:r>
    </w:p>
    <w:p w14:paraId="587DDA3D"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fatigue-driven plasticity,</w:t>
      </w:r>
    </w:p>
    <w:p w14:paraId="6F2A4DE5"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electrically biased impedance and capacitance gradients,</w:t>
      </w:r>
    </w:p>
    <w:p w14:paraId="44FB2E12"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passive bidirectional coupling between stress and field topology.</w:t>
      </w:r>
    </w:p>
    <w:p w14:paraId="73234752"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Mechanical strain irreversibly alters electrical properties (impedance, field density, relaxation times). Electrical fields, in turn, redistribute stress and deformation paths without sensing or actuation. This bidirectional coupling is </w:t>
      </w:r>
      <w:r w:rsidRPr="00265769">
        <w:rPr>
          <w:rFonts w:ascii="Times New Roman" w:hAnsi="Times New Roman" w:cs="Times New Roman"/>
          <w:b/>
          <w:bCs/>
          <w:sz w:val="28"/>
          <w:szCs w:val="28"/>
        </w:rPr>
        <w:t>always passive</w:t>
      </w:r>
      <w:r w:rsidRPr="00265769">
        <w:rPr>
          <w:rFonts w:ascii="Times New Roman" w:hAnsi="Times New Roman" w:cs="Times New Roman"/>
          <w:sz w:val="28"/>
          <w:szCs w:val="28"/>
        </w:rPr>
        <w:t xml:space="preserve"> and </w:t>
      </w:r>
      <w:r w:rsidRPr="00265769">
        <w:rPr>
          <w:rFonts w:ascii="Times New Roman" w:hAnsi="Times New Roman" w:cs="Times New Roman"/>
          <w:b/>
          <w:bCs/>
          <w:sz w:val="28"/>
          <w:szCs w:val="28"/>
        </w:rPr>
        <w:t>never symbolic</w:t>
      </w:r>
      <w:r w:rsidRPr="00265769">
        <w:rPr>
          <w:rFonts w:ascii="Times New Roman" w:hAnsi="Times New Roman" w:cs="Times New Roman"/>
          <w:sz w:val="28"/>
          <w:szCs w:val="28"/>
        </w:rPr>
        <w:t>.</w:t>
      </w:r>
    </w:p>
    <w:p w14:paraId="1E0B94D2" w14:textId="28FFD43A"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There are no discrete units, no switching thresholds, no attractor basins, and no convergent states. Cognition unfolds as </w:t>
      </w:r>
      <w:r w:rsidRPr="00265769">
        <w:rPr>
          <w:rFonts w:ascii="Times New Roman" w:hAnsi="Times New Roman" w:cs="Times New Roman"/>
          <w:b/>
          <w:bCs/>
          <w:sz w:val="28"/>
          <w:szCs w:val="28"/>
        </w:rPr>
        <w:t>continuous deformation of response gradients</w:t>
      </w:r>
      <w:r w:rsidRPr="00265769">
        <w:rPr>
          <w:rFonts w:ascii="Times New Roman" w:hAnsi="Times New Roman" w:cs="Times New Roman"/>
          <w:sz w:val="28"/>
          <w:szCs w:val="28"/>
        </w:rPr>
        <w:t>, not as transitions between states.</w:t>
      </w:r>
    </w:p>
    <w:p w14:paraId="3D58FCE1" w14:textId="7E5B7C4F"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3.3</w:t>
      </w:r>
      <w:r w:rsidR="00265769" w:rsidRPr="00A5644E">
        <w:rPr>
          <w:rFonts w:ascii="Times New Roman" w:hAnsi="Times New Roman" w:cs="Times New Roman"/>
          <w:b/>
          <w:bCs/>
          <w:sz w:val="34"/>
          <w:szCs w:val="34"/>
        </w:rPr>
        <w:t xml:space="preserve"> Gradient Integration Without Representation</w:t>
      </w:r>
    </w:p>
    <w:p w14:paraId="19EA0D3F" w14:textId="77777777" w:rsidR="00265769" w:rsidRPr="00265769" w:rsidRDefault="00265769" w:rsidP="00265769">
      <w:pPr>
        <w:rPr>
          <w:rFonts w:ascii="Times New Roman" w:hAnsi="Times New Roman" w:cs="Times New Roman"/>
          <w:sz w:val="28"/>
          <w:szCs w:val="28"/>
        </w:rPr>
      </w:pP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integrates influences (mechanical load, illumination, proximity, contact) </w:t>
      </w:r>
      <w:r w:rsidRPr="00265769">
        <w:rPr>
          <w:rFonts w:ascii="Times New Roman" w:hAnsi="Times New Roman" w:cs="Times New Roman"/>
          <w:b/>
          <w:bCs/>
          <w:sz w:val="28"/>
          <w:szCs w:val="28"/>
        </w:rPr>
        <w:t>without representing them</w:t>
      </w:r>
      <w:r w:rsidRPr="00265769">
        <w:rPr>
          <w:rFonts w:ascii="Times New Roman" w:hAnsi="Times New Roman" w:cs="Times New Roman"/>
          <w:sz w:val="28"/>
          <w:szCs w:val="28"/>
        </w:rPr>
        <w:t>.</w:t>
      </w:r>
    </w:p>
    <w:p w14:paraId="430AE4A1"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There is:</w:t>
      </w:r>
    </w:p>
    <w:p w14:paraId="13F1DDEA" w14:textId="77777777" w:rsidR="00265769" w:rsidRPr="00265769" w:rsidRDefault="00265769" w:rsidP="00265769">
      <w:pPr>
        <w:numPr>
          <w:ilvl w:val="0"/>
          <w:numId w:val="6"/>
        </w:numPr>
        <w:rPr>
          <w:rFonts w:ascii="Times New Roman" w:hAnsi="Times New Roman" w:cs="Times New Roman"/>
          <w:sz w:val="28"/>
          <w:szCs w:val="28"/>
        </w:rPr>
      </w:pPr>
      <w:r w:rsidRPr="00265769">
        <w:rPr>
          <w:rFonts w:ascii="Times New Roman" w:hAnsi="Times New Roman" w:cs="Times New Roman"/>
          <w:sz w:val="28"/>
          <w:szCs w:val="28"/>
        </w:rPr>
        <w:t>no variable corresponding to “light,”</w:t>
      </w:r>
    </w:p>
    <w:p w14:paraId="40DB234A" w14:textId="77777777" w:rsidR="00265769" w:rsidRPr="00265769" w:rsidRDefault="00265769" w:rsidP="00265769">
      <w:pPr>
        <w:numPr>
          <w:ilvl w:val="0"/>
          <w:numId w:val="6"/>
        </w:numPr>
        <w:rPr>
          <w:rFonts w:ascii="Times New Roman" w:hAnsi="Times New Roman" w:cs="Times New Roman"/>
          <w:sz w:val="28"/>
          <w:szCs w:val="28"/>
        </w:rPr>
      </w:pPr>
      <w:r w:rsidRPr="00265769">
        <w:rPr>
          <w:rFonts w:ascii="Times New Roman" w:hAnsi="Times New Roman" w:cs="Times New Roman"/>
          <w:sz w:val="28"/>
          <w:szCs w:val="28"/>
        </w:rPr>
        <w:t>no signal corresponding to “object,”</w:t>
      </w:r>
    </w:p>
    <w:p w14:paraId="31E59A16" w14:textId="77777777" w:rsidR="00265769" w:rsidRPr="00265769" w:rsidRDefault="00265769" w:rsidP="00265769">
      <w:pPr>
        <w:numPr>
          <w:ilvl w:val="0"/>
          <w:numId w:val="6"/>
        </w:numPr>
        <w:rPr>
          <w:rFonts w:ascii="Times New Roman" w:hAnsi="Times New Roman" w:cs="Times New Roman"/>
          <w:sz w:val="28"/>
          <w:szCs w:val="28"/>
        </w:rPr>
      </w:pPr>
      <w:r w:rsidRPr="00265769">
        <w:rPr>
          <w:rFonts w:ascii="Times New Roman" w:hAnsi="Times New Roman" w:cs="Times New Roman"/>
          <w:sz w:val="28"/>
          <w:szCs w:val="28"/>
        </w:rPr>
        <w:t>no internal token corresponding to “self” or “environment.”</w:t>
      </w:r>
    </w:p>
    <w:p w14:paraId="50550D6A"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Instead, all influences modulate the </w:t>
      </w:r>
      <w:r w:rsidRPr="00265769">
        <w:rPr>
          <w:rFonts w:ascii="Times New Roman" w:hAnsi="Times New Roman" w:cs="Times New Roman"/>
          <w:i/>
          <w:iCs/>
          <w:sz w:val="28"/>
          <w:szCs w:val="28"/>
        </w:rPr>
        <w:t>same coupled field</w:t>
      </w:r>
      <w:r w:rsidRPr="00265769">
        <w:rPr>
          <w:rFonts w:ascii="Times New Roman" w:hAnsi="Times New Roman" w:cs="Times New Roman"/>
          <w:sz w:val="28"/>
          <w:szCs w:val="28"/>
        </w:rPr>
        <w:t xml:space="preserve">, reshaping gradient geometry. What would be called “integration” in computational systems is here realized as </w:t>
      </w:r>
      <w:r w:rsidRPr="00265769">
        <w:rPr>
          <w:rFonts w:ascii="Times New Roman" w:hAnsi="Times New Roman" w:cs="Times New Roman"/>
          <w:b/>
          <w:bCs/>
          <w:sz w:val="28"/>
          <w:szCs w:val="28"/>
        </w:rPr>
        <w:t>superposition of irreversible bias</w:t>
      </w:r>
      <w:r w:rsidRPr="00265769">
        <w:rPr>
          <w:rFonts w:ascii="Times New Roman" w:hAnsi="Times New Roman" w:cs="Times New Roman"/>
          <w:sz w:val="28"/>
          <w:szCs w:val="28"/>
        </w:rPr>
        <w:t xml:space="preserve"> within a single material continuum.</w:t>
      </w:r>
    </w:p>
    <w:p w14:paraId="4BEC054F" w14:textId="65514125"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This makes </w:t>
      </w: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incapable of abstraction, categorization, or inference — but capable of </w:t>
      </w:r>
      <w:r w:rsidRPr="00265769">
        <w:rPr>
          <w:rFonts w:ascii="Times New Roman" w:hAnsi="Times New Roman" w:cs="Times New Roman"/>
          <w:b/>
          <w:bCs/>
          <w:sz w:val="28"/>
          <w:szCs w:val="28"/>
        </w:rPr>
        <w:t>history-weighted coherence</w:t>
      </w:r>
      <w:r w:rsidRPr="00265769">
        <w:rPr>
          <w:rFonts w:ascii="Times New Roman" w:hAnsi="Times New Roman" w:cs="Times New Roman"/>
          <w:sz w:val="28"/>
          <w:szCs w:val="28"/>
        </w:rPr>
        <w:t>.</w:t>
      </w:r>
    </w:p>
    <w:p w14:paraId="38948E94" w14:textId="7F14D8FA"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 xml:space="preserve">4 Constraint-Free Intelligence </w:t>
      </w:r>
    </w:p>
    <w:p w14:paraId="362E864E"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Unlike </w:t>
      </w:r>
      <w:proofErr w:type="spellStart"/>
      <w:r w:rsidRPr="00265769">
        <w:rPr>
          <w:rFonts w:ascii="Times New Roman" w:hAnsi="Times New Roman" w:cs="Times New Roman"/>
          <w:sz w:val="28"/>
          <w:szCs w:val="28"/>
        </w:rPr>
        <w:t>CrossSynth</w:t>
      </w:r>
      <w:proofErr w:type="spellEnd"/>
      <w:r w:rsidRPr="00265769">
        <w:rPr>
          <w:rFonts w:ascii="Times New Roman" w:hAnsi="Times New Roman" w:cs="Times New Roman"/>
          <w:sz w:val="28"/>
          <w:szCs w:val="28"/>
        </w:rPr>
        <w:t xml:space="preserve"> and </w:t>
      </w:r>
      <w:proofErr w:type="spellStart"/>
      <w:r w:rsidRPr="00265769">
        <w:rPr>
          <w:rFonts w:ascii="Times New Roman" w:hAnsi="Times New Roman" w:cs="Times New Roman"/>
          <w:sz w:val="28"/>
          <w:szCs w:val="28"/>
        </w:rPr>
        <w:t>QuantumSynth</w:t>
      </w:r>
      <w:proofErr w:type="spellEnd"/>
      <w:r w:rsidRPr="00265769">
        <w:rPr>
          <w:rFonts w:ascii="Times New Roman" w:hAnsi="Times New Roman" w:cs="Times New Roman"/>
          <w:sz w:val="28"/>
          <w:szCs w:val="28"/>
        </w:rPr>
        <w:t xml:space="preserve">, </w:t>
      </w: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introduces </w:t>
      </w:r>
      <w:r w:rsidRPr="00265769">
        <w:rPr>
          <w:rFonts w:ascii="Times New Roman" w:hAnsi="Times New Roman" w:cs="Times New Roman"/>
          <w:b/>
          <w:bCs/>
          <w:sz w:val="28"/>
          <w:szCs w:val="28"/>
        </w:rPr>
        <w:t>no explicit constraint architecture</w:t>
      </w:r>
      <w:r w:rsidRPr="00265769">
        <w:rPr>
          <w:rFonts w:ascii="Times New Roman" w:hAnsi="Times New Roman" w:cs="Times New Roman"/>
          <w:sz w:val="28"/>
          <w:szCs w:val="28"/>
        </w:rPr>
        <w:t>:</w:t>
      </w:r>
    </w:p>
    <w:p w14:paraId="31E31D34"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lastRenderedPageBreak/>
        <w:t>no admissibility boundaries,</w:t>
      </w:r>
    </w:p>
    <w:p w14:paraId="70E41693"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forbidden states,</w:t>
      </w:r>
    </w:p>
    <w:p w14:paraId="7942F890"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trajectory pruning,</w:t>
      </w:r>
    </w:p>
    <w:p w14:paraId="1946B390"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collapse mechanisms.</w:t>
      </w:r>
    </w:p>
    <w:p w14:paraId="0C6003C9" w14:textId="3D92F9AA"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All futures remain physically reachable in principle. Intelligence arises not from exclusion, but from </w:t>
      </w:r>
      <w:r w:rsidRPr="00265769">
        <w:rPr>
          <w:rFonts w:ascii="Times New Roman" w:hAnsi="Times New Roman" w:cs="Times New Roman"/>
          <w:b/>
          <w:bCs/>
          <w:sz w:val="28"/>
          <w:szCs w:val="28"/>
        </w:rPr>
        <w:t>progressive deformation of cost</w:t>
      </w:r>
      <w:r w:rsidRPr="00265769">
        <w:rPr>
          <w:rFonts w:ascii="Times New Roman" w:hAnsi="Times New Roman" w:cs="Times New Roman"/>
          <w:sz w:val="28"/>
          <w:szCs w:val="28"/>
        </w:rPr>
        <w:t>.</w:t>
      </w:r>
      <w:r w:rsidR="00A5644E">
        <w:rPr>
          <w:rFonts w:ascii="Times New Roman" w:hAnsi="Times New Roman" w:cs="Times New Roman"/>
          <w:sz w:val="28"/>
          <w:szCs w:val="28"/>
        </w:rPr>
        <w:t xml:space="preserve"> </w:t>
      </w:r>
      <w:r w:rsidRPr="00265769">
        <w:rPr>
          <w:rFonts w:ascii="Times New Roman" w:hAnsi="Times New Roman" w:cs="Times New Roman"/>
          <w:sz w:val="28"/>
          <w:szCs w:val="28"/>
        </w:rPr>
        <w:t>This introduces a novel cognitive regime not present in the other children:</w:t>
      </w:r>
      <w:r w:rsidR="00A5644E">
        <w:rPr>
          <w:rFonts w:ascii="Times New Roman" w:hAnsi="Times New Roman" w:cs="Times New Roman"/>
          <w:sz w:val="28"/>
          <w:szCs w:val="28"/>
        </w:rPr>
        <w:t xml:space="preserve"> </w:t>
      </w:r>
      <w:r w:rsidRPr="00265769">
        <w:rPr>
          <w:rFonts w:ascii="Times New Roman" w:hAnsi="Times New Roman" w:cs="Times New Roman"/>
          <w:i/>
          <w:iCs/>
          <w:sz w:val="28"/>
          <w:szCs w:val="28"/>
        </w:rPr>
        <w:t>Constraint is continuous and analog, not geometric or existential.</w:t>
      </w:r>
      <w:r w:rsidR="00A5644E">
        <w:rPr>
          <w:rFonts w:ascii="Times New Roman" w:hAnsi="Times New Roman" w:cs="Times New Roman"/>
          <w:sz w:val="28"/>
          <w:szCs w:val="28"/>
        </w:rPr>
        <w:t xml:space="preserve"> </w:t>
      </w:r>
      <w:r w:rsidRPr="00265769">
        <w:rPr>
          <w:rFonts w:ascii="Times New Roman" w:hAnsi="Times New Roman" w:cs="Times New Roman"/>
          <w:sz w:val="28"/>
          <w:szCs w:val="28"/>
        </w:rPr>
        <w:t>This is the defining distinction of Synthetic Child-G.</w:t>
      </w:r>
    </w:p>
    <w:p w14:paraId="5A7DF28F" w14:textId="0C71B78B"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 xml:space="preserve">5 Mesoscale Gradient Domains </w:t>
      </w:r>
    </w:p>
    <w:p w14:paraId="2CCF4F2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Although </w:t>
      </w: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lacks discrete modules, its coupled medium naturally forms </w:t>
      </w:r>
      <w:r w:rsidRPr="00265769">
        <w:rPr>
          <w:rFonts w:ascii="Times New Roman" w:hAnsi="Times New Roman" w:cs="Times New Roman"/>
          <w:b/>
          <w:bCs/>
          <w:sz w:val="28"/>
          <w:szCs w:val="28"/>
        </w:rPr>
        <w:t>mesoscale gradient domains</w:t>
      </w:r>
      <w:r w:rsidRPr="00265769">
        <w:rPr>
          <w:rFonts w:ascii="Times New Roman" w:hAnsi="Times New Roman" w:cs="Times New Roman"/>
          <w:sz w:val="28"/>
          <w:szCs w:val="28"/>
        </w:rPr>
        <w:t>:</w:t>
      </w:r>
    </w:p>
    <w:p w14:paraId="281CB15C" w14:textId="77777777" w:rsidR="00265769" w:rsidRPr="00265769" w:rsidRDefault="00265769" w:rsidP="00265769">
      <w:pPr>
        <w:numPr>
          <w:ilvl w:val="0"/>
          <w:numId w:val="8"/>
        </w:numPr>
        <w:rPr>
          <w:rFonts w:ascii="Times New Roman" w:hAnsi="Times New Roman" w:cs="Times New Roman"/>
          <w:sz w:val="28"/>
          <w:szCs w:val="28"/>
        </w:rPr>
      </w:pPr>
      <w:r w:rsidRPr="00265769">
        <w:rPr>
          <w:rFonts w:ascii="Times New Roman" w:hAnsi="Times New Roman" w:cs="Times New Roman"/>
          <w:sz w:val="28"/>
          <w:szCs w:val="28"/>
        </w:rPr>
        <w:t>regions where strain history has locally biased compliance and impedance,</w:t>
      </w:r>
    </w:p>
    <w:p w14:paraId="6FCCEB9D" w14:textId="77777777" w:rsidR="00265769" w:rsidRPr="00265769" w:rsidRDefault="00265769" w:rsidP="00265769">
      <w:pPr>
        <w:numPr>
          <w:ilvl w:val="0"/>
          <w:numId w:val="8"/>
        </w:numPr>
        <w:rPr>
          <w:rFonts w:ascii="Times New Roman" w:hAnsi="Times New Roman" w:cs="Times New Roman"/>
          <w:sz w:val="28"/>
          <w:szCs w:val="28"/>
        </w:rPr>
      </w:pPr>
      <w:r w:rsidRPr="00265769">
        <w:rPr>
          <w:rFonts w:ascii="Times New Roman" w:hAnsi="Times New Roman" w:cs="Times New Roman"/>
          <w:sz w:val="28"/>
          <w:szCs w:val="28"/>
        </w:rPr>
        <w:t>zones that respond more strongly or weakly to perturbation,</w:t>
      </w:r>
    </w:p>
    <w:p w14:paraId="2377D408" w14:textId="77777777" w:rsidR="00265769" w:rsidRPr="00265769" w:rsidRDefault="00265769" w:rsidP="00265769">
      <w:pPr>
        <w:numPr>
          <w:ilvl w:val="0"/>
          <w:numId w:val="8"/>
        </w:numPr>
        <w:rPr>
          <w:rFonts w:ascii="Times New Roman" w:hAnsi="Times New Roman" w:cs="Times New Roman"/>
          <w:sz w:val="28"/>
          <w:szCs w:val="28"/>
        </w:rPr>
      </w:pPr>
      <w:r w:rsidRPr="00265769">
        <w:rPr>
          <w:rFonts w:ascii="Times New Roman" w:hAnsi="Times New Roman" w:cs="Times New Roman"/>
          <w:sz w:val="28"/>
          <w:szCs w:val="28"/>
        </w:rPr>
        <w:t>transient, overlapping, non-bounded influence regions.</w:t>
      </w:r>
    </w:p>
    <w:p w14:paraId="470E0342"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These domains are:</w:t>
      </w:r>
    </w:p>
    <w:p w14:paraId="7F9FD855"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fabricated,</w:t>
      </w:r>
    </w:p>
    <w:p w14:paraId="323B4185"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addressable,</w:t>
      </w:r>
    </w:p>
    <w:p w14:paraId="264D62E9"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stable,</w:t>
      </w:r>
    </w:p>
    <w:p w14:paraId="01D84516"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identifiable as parts.</w:t>
      </w:r>
    </w:p>
    <w:p w14:paraId="60DF188F"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They arise purely from heterogeneous deformation history.</w:t>
      </w:r>
    </w:p>
    <w:p w14:paraId="69BE0F4C"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Crucially:</w:t>
      </w:r>
    </w:p>
    <w:p w14:paraId="3B5DD64A" w14:textId="77777777" w:rsidR="00265769" w:rsidRPr="00265769" w:rsidRDefault="00265769" w:rsidP="00265769">
      <w:pPr>
        <w:numPr>
          <w:ilvl w:val="0"/>
          <w:numId w:val="10"/>
        </w:numPr>
        <w:rPr>
          <w:rFonts w:ascii="Times New Roman" w:hAnsi="Times New Roman" w:cs="Times New Roman"/>
          <w:sz w:val="28"/>
          <w:szCs w:val="28"/>
        </w:rPr>
      </w:pPr>
      <w:r w:rsidRPr="00265769">
        <w:rPr>
          <w:rFonts w:ascii="Times New Roman" w:hAnsi="Times New Roman" w:cs="Times New Roman"/>
          <w:sz w:val="28"/>
          <w:szCs w:val="28"/>
        </w:rPr>
        <w:t xml:space="preserve">domains do </w:t>
      </w:r>
      <w:r w:rsidRPr="00265769">
        <w:rPr>
          <w:rFonts w:ascii="Times New Roman" w:hAnsi="Times New Roman" w:cs="Times New Roman"/>
          <w:b/>
          <w:bCs/>
          <w:sz w:val="28"/>
          <w:szCs w:val="28"/>
        </w:rPr>
        <w:t>not</w:t>
      </w:r>
      <w:r w:rsidRPr="00265769">
        <w:rPr>
          <w:rFonts w:ascii="Times New Roman" w:hAnsi="Times New Roman" w:cs="Times New Roman"/>
          <w:sz w:val="28"/>
          <w:szCs w:val="28"/>
        </w:rPr>
        <w:t xml:space="preserve"> store information,</w:t>
      </w:r>
    </w:p>
    <w:p w14:paraId="19F29C24" w14:textId="77777777" w:rsidR="00265769" w:rsidRPr="00265769" w:rsidRDefault="00265769" w:rsidP="00265769">
      <w:pPr>
        <w:numPr>
          <w:ilvl w:val="0"/>
          <w:numId w:val="10"/>
        </w:numPr>
        <w:rPr>
          <w:rFonts w:ascii="Times New Roman" w:hAnsi="Times New Roman" w:cs="Times New Roman"/>
          <w:sz w:val="28"/>
          <w:szCs w:val="28"/>
        </w:rPr>
      </w:pPr>
      <w:r w:rsidRPr="00265769">
        <w:rPr>
          <w:rFonts w:ascii="Times New Roman" w:hAnsi="Times New Roman" w:cs="Times New Roman"/>
          <w:sz w:val="28"/>
          <w:szCs w:val="28"/>
        </w:rPr>
        <w:t xml:space="preserve">domains do </w:t>
      </w:r>
      <w:r w:rsidRPr="00265769">
        <w:rPr>
          <w:rFonts w:ascii="Times New Roman" w:hAnsi="Times New Roman" w:cs="Times New Roman"/>
          <w:b/>
          <w:bCs/>
          <w:sz w:val="28"/>
          <w:szCs w:val="28"/>
        </w:rPr>
        <w:t>not</w:t>
      </w:r>
      <w:r w:rsidRPr="00265769">
        <w:rPr>
          <w:rFonts w:ascii="Times New Roman" w:hAnsi="Times New Roman" w:cs="Times New Roman"/>
          <w:sz w:val="28"/>
          <w:szCs w:val="28"/>
        </w:rPr>
        <w:t xml:space="preserve"> compete,</w:t>
      </w:r>
    </w:p>
    <w:p w14:paraId="0B5CE0F5" w14:textId="77777777" w:rsidR="00265769" w:rsidRPr="00265769" w:rsidRDefault="00265769" w:rsidP="00265769">
      <w:pPr>
        <w:numPr>
          <w:ilvl w:val="0"/>
          <w:numId w:val="10"/>
        </w:numPr>
        <w:rPr>
          <w:rFonts w:ascii="Times New Roman" w:hAnsi="Times New Roman" w:cs="Times New Roman"/>
          <w:sz w:val="28"/>
          <w:szCs w:val="28"/>
        </w:rPr>
      </w:pPr>
      <w:r w:rsidRPr="00265769">
        <w:rPr>
          <w:rFonts w:ascii="Times New Roman" w:hAnsi="Times New Roman" w:cs="Times New Roman"/>
          <w:sz w:val="28"/>
          <w:szCs w:val="28"/>
        </w:rPr>
        <w:t xml:space="preserve">domains do </w:t>
      </w:r>
      <w:r w:rsidRPr="00265769">
        <w:rPr>
          <w:rFonts w:ascii="Times New Roman" w:hAnsi="Times New Roman" w:cs="Times New Roman"/>
          <w:b/>
          <w:bCs/>
          <w:sz w:val="28"/>
          <w:szCs w:val="28"/>
        </w:rPr>
        <w:t>not</w:t>
      </w:r>
      <w:r w:rsidRPr="00265769">
        <w:rPr>
          <w:rFonts w:ascii="Times New Roman" w:hAnsi="Times New Roman" w:cs="Times New Roman"/>
          <w:sz w:val="28"/>
          <w:szCs w:val="28"/>
        </w:rPr>
        <w:t xml:space="preserve"> coordinate.</w:t>
      </w:r>
    </w:p>
    <w:p w14:paraId="052EBC3F"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They merely skew response locally, shaping global behavior through accumulation.</w:t>
      </w:r>
    </w:p>
    <w:p w14:paraId="588221E0" w14:textId="3499C770"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lastRenderedPageBreak/>
        <w:t xml:space="preserve">This addition explains how </w:t>
      </w: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can exhibit </w:t>
      </w:r>
      <w:r w:rsidRPr="00265769">
        <w:rPr>
          <w:rFonts w:ascii="Times New Roman" w:hAnsi="Times New Roman" w:cs="Times New Roman"/>
          <w:b/>
          <w:bCs/>
          <w:sz w:val="28"/>
          <w:szCs w:val="28"/>
        </w:rPr>
        <w:t>coherent behavior across scale</w:t>
      </w:r>
      <w:r w:rsidRPr="00265769">
        <w:rPr>
          <w:rFonts w:ascii="Times New Roman" w:hAnsi="Times New Roman" w:cs="Times New Roman"/>
          <w:sz w:val="28"/>
          <w:szCs w:val="28"/>
        </w:rPr>
        <w:t xml:space="preserve"> without invoking representation or control, and does not violate any exclusions in the ontology </w:t>
      </w:r>
    </w:p>
    <w:p w14:paraId="135A7E8C" w14:textId="27F3C22C"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6 Temporal Intelligence Without Memory</w:t>
      </w:r>
    </w:p>
    <w:p w14:paraId="11B5711E" w14:textId="77777777" w:rsidR="00265769" w:rsidRPr="00265769" w:rsidRDefault="00265769" w:rsidP="00265769">
      <w:pPr>
        <w:rPr>
          <w:rFonts w:ascii="Times New Roman" w:hAnsi="Times New Roman" w:cs="Times New Roman"/>
          <w:sz w:val="28"/>
          <w:szCs w:val="28"/>
        </w:rPr>
      </w:pP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exhibits time-extended behavior without memory.</w:t>
      </w:r>
    </w:p>
    <w:p w14:paraId="78C13E7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There is:</w:t>
      </w:r>
    </w:p>
    <w:p w14:paraId="2886991A" w14:textId="77777777" w:rsidR="00265769" w:rsidRPr="00265769" w:rsidRDefault="00265769" w:rsidP="00265769">
      <w:pPr>
        <w:numPr>
          <w:ilvl w:val="0"/>
          <w:numId w:val="11"/>
        </w:numPr>
        <w:rPr>
          <w:rFonts w:ascii="Times New Roman" w:hAnsi="Times New Roman" w:cs="Times New Roman"/>
          <w:sz w:val="28"/>
          <w:szCs w:val="28"/>
        </w:rPr>
      </w:pPr>
      <w:r w:rsidRPr="00265769">
        <w:rPr>
          <w:rFonts w:ascii="Times New Roman" w:hAnsi="Times New Roman" w:cs="Times New Roman"/>
          <w:sz w:val="28"/>
          <w:szCs w:val="28"/>
        </w:rPr>
        <w:t>no recall,</w:t>
      </w:r>
    </w:p>
    <w:p w14:paraId="4EAC38B6" w14:textId="77777777" w:rsidR="00265769" w:rsidRPr="00265769" w:rsidRDefault="00265769" w:rsidP="00265769">
      <w:pPr>
        <w:numPr>
          <w:ilvl w:val="0"/>
          <w:numId w:val="11"/>
        </w:numPr>
        <w:rPr>
          <w:rFonts w:ascii="Times New Roman" w:hAnsi="Times New Roman" w:cs="Times New Roman"/>
          <w:sz w:val="28"/>
          <w:szCs w:val="28"/>
        </w:rPr>
      </w:pPr>
      <w:r w:rsidRPr="00265769">
        <w:rPr>
          <w:rFonts w:ascii="Times New Roman" w:hAnsi="Times New Roman" w:cs="Times New Roman"/>
          <w:sz w:val="28"/>
          <w:szCs w:val="28"/>
        </w:rPr>
        <w:t>no replay,</w:t>
      </w:r>
    </w:p>
    <w:p w14:paraId="400875C9" w14:textId="77777777" w:rsidR="00265769" w:rsidRPr="00265769" w:rsidRDefault="00265769" w:rsidP="00265769">
      <w:pPr>
        <w:numPr>
          <w:ilvl w:val="0"/>
          <w:numId w:val="11"/>
        </w:numPr>
        <w:rPr>
          <w:rFonts w:ascii="Times New Roman" w:hAnsi="Times New Roman" w:cs="Times New Roman"/>
          <w:sz w:val="28"/>
          <w:szCs w:val="28"/>
        </w:rPr>
      </w:pPr>
      <w:r w:rsidRPr="00265769">
        <w:rPr>
          <w:rFonts w:ascii="Times New Roman" w:hAnsi="Times New Roman" w:cs="Times New Roman"/>
          <w:sz w:val="28"/>
          <w:szCs w:val="28"/>
        </w:rPr>
        <w:t>no reinstatement of prior configurations.</w:t>
      </w:r>
    </w:p>
    <w:p w14:paraId="1F9B676E"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Temporal structure arises because </w:t>
      </w:r>
      <w:r w:rsidRPr="00265769">
        <w:rPr>
          <w:rFonts w:ascii="Times New Roman" w:hAnsi="Times New Roman" w:cs="Times New Roman"/>
          <w:b/>
          <w:bCs/>
          <w:sz w:val="28"/>
          <w:szCs w:val="28"/>
        </w:rPr>
        <w:t>past deformation permanently alters present response</w:t>
      </w:r>
      <w:r w:rsidRPr="00265769">
        <w:rPr>
          <w:rFonts w:ascii="Times New Roman" w:hAnsi="Times New Roman" w:cs="Times New Roman"/>
          <w:sz w:val="28"/>
          <w:szCs w:val="28"/>
        </w:rPr>
        <w:t>. Two identical instantaneous configurations reached by different histories will evolve differently under the same perturbation.</w:t>
      </w:r>
    </w:p>
    <w:p w14:paraId="27DB9E6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This produces:</w:t>
      </w:r>
    </w:p>
    <w:p w14:paraId="2F58E582" w14:textId="77777777" w:rsidR="00265769" w:rsidRPr="00265769" w:rsidRDefault="00265769" w:rsidP="00265769">
      <w:pPr>
        <w:numPr>
          <w:ilvl w:val="0"/>
          <w:numId w:val="12"/>
        </w:numPr>
        <w:rPr>
          <w:rFonts w:ascii="Times New Roman" w:hAnsi="Times New Roman" w:cs="Times New Roman"/>
          <w:sz w:val="28"/>
          <w:szCs w:val="28"/>
        </w:rPr>
      </w:pPr>
      <w:r w:rsidRPr="00265769">
        <w:rPr>
          <w:rFonts w:ascii="Times New Roman" w:hAnsi="Times New Roman" w:cs="Times New Roman"/>
          <w:sz w:val="28"/>
          <w:szCs w:val="28"/>
        </w:rPr>
        <w:t>persistence of tendencies,</w:t>
      </w:r>
    </w:p>
    <w:p w14:paraId="00696B05" w14:textId="77777777" w:rsidR="00265769" w:rsidRPr="00265769" w:rsidRDefault="00265769" w:rsidP="00265769">
      <w:pPr>
        <w:numPr>
          <w:ilvl w:val="0"/>
          <w:numId w:val="12"/>
        </w:numPr>
        <w:rPr>
          <w:rFonts w:ascii="Times New Roman" w:hAnsi="Times New Roman" w:cs="Times New Roman"/>
          <w:sz w:val="28"/>
          <w:szCs w:val="28"/>
        </w:rPr>
      </w:pPr>
      <w:r w:rsidRPr="00265769">
        <w:rPr>
          <w:rFonts w:ascii="Times New Roman" w:hAnsi="Times New Roman" w:cs="Times New Roman"/>
          <w:sz w:val="28"/>
          <w:szCs w:val="28"/>
        </w:rPr>
        <w:t>path-dependent behavior,</w:t>
      </w:r>
    </w:p>
    <w:p w14:paraId="673B5A88" w14:textId="77777777" w:rsidR="00265769" w:rsidRPr="00265769" w:rsidRDefault="00265769" w:rsidP="00265769">
      <w:pPr>
        <w:numPr>
          <w:ilvl w:val="0"/>
          <w:numId w:val="12"/>
        </w:numPr>
        <w:rPr>
          <w:rFonts w:ascii="Times New Roman" w:hAnsi="Times New Roman" w:cs="Times New Roman"/>
          <w:sz w:val="28"/>
          <w:szCs w:val="28"/>
        </w:rPr>
      </w:pPr>
      <w:r w:rsidRPr="00265769">
        <w:rPr>
          <w:rFonts w:ascii="Times New Roman" w:hAnsi="Times New Roman" w:cs="Times New Roman"/>
          <w:sz w:val="28"/>
          <w:szCs w:val="28"/>
        </w:rPr>
        <w:t>irreducible individuality.</w:t>
      </w:r>
    </w:p>
    <w:p w14:paraId="6E60171E" w14:textId="64F7D266"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But never learning, prediction, or expectation.</w:t>
      </w:r>
    </w:p>
    <w:p w14:paraId="7763CC9C" w14:textId="3A79D8FB"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7 Proto-Agency as Gradient Retention</w:t>
      </w:r>
    </w:p>
    <w:p w14:paraId="4AAD8078"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If proto-agency is permitted, it arises as </w:t>
      </w:r>
      <w:r w:rsidRPr="00265769">
        <w:rPr>
          <w:rFonts w:ascii="Times New Roman" w:hAnsi="Times New Roman" w:cs="Times New Roman"/>
          <w:b/>
          <w:bCs/>
          <w:sz w:val="28"/>
          <w:szCs w:val="28"/>
        </w:rPr>
        <w:t>retention of bias</w:t>
      </w:r>
      <w:r w:rsidRPr="00265769">
        <w:rPr>
          <w:rFonts w:ascii="Times New Roman" w:hAnsi="Times New Roman" w:cs="Times New Roman"/>
          <w:sz w:val="28"/>
          <w:szCs w:val="28"/>
        </w:rPr>
        <w:t>, not intention.</w:t>
      </w:r>
    </w:p>
    <w:p w14:paraId="7D2668E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Certain configurations recur because:</w:t>
      </w:r>
    </w:p>
    <w:p w14:paraId="4593B35F" w14:textId="77777777" w:rsidR="00265769" w:rsidRPr="00265769" w:rsidRDefault="00265769" w:rsidP="00265769">
      <w:pPr>
        <w:numPr>
          <w:ilvl w:val="0"/>
          <w:numId w:val="13"/>
        </w:numPr>
        <w:rPr>
          <w:rFonts w:ascii="Times New Roman" w:hAnsi="Times New Roman" w:cs="Times New Roman"/>
          <w:sz w:val="28"/>
          <w:szCs w:val="28"/>
        </w:rPr>
      </w:pPr>
      <w:r w:rsidRPr="00265769">
        <w:rPr>
          <w:rFonts w:ascii="Times New Roman" w:hAnsi="Times New Roman" w:cs="Times New Roman"/>
          <w:sz w:val="28"/>
          <w:szCs w:val="28"/>
        </w:rPr>
        <w:t>they are mechanically cheaper given accumulated deformation,</w:t>
      </w:r>
    </w:p>
    <w:p w14:paraId="4E551FBF" w14:textId="77777777" w:rsidR="00265769" w:rsidRPr="00265769" w:rsidRDefault="00265769" w:rsidP="00265769">
      <w:pPr>
        <w:numPr>
          <w:ilvl w:val="0"/>
          <w:numId w:val="13"/>
        </w:numPr>
        <w:rPr>
          <w:rFonts w:ascii="Times New Roman" w:hAnsi="Times New Roman" w:cs="Times New Roman"/>
          <w:sz w:val="28"/>
          <w:szCs w:val="28"/>
        </w:rPr>
      </w:pPr>
      <w:r w:rsidRPr="00265769">
        <w:rPr>
          <w:rFonts w:ascii="Times New Roman" w:hAnsi="Times New Roman" w:cs="Times New Roman"/>
          <w:sz w:val="28"/>
          <w:szCs w:val="28"/>
        </w:rPr>
        <w:t>not because they are selected, valued, or preferred.</w:t>
      </w:r>
    </w:p>
    <w:p w14:paraId="32AFD33B"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This explains:</w:t>
      </w:r>
    </w:p>
    <w:p w14:paraId="1E47470B" w14:textId="77777777" w:rsidR="00265769" w:rsidRPr="00265769" w:rsidRDefault="00265769" w:rsidP="00265769">
      <w:pPr>
        <w:numPr>
          <w:ilvl w:val="0"/>
          <w:numId w:val="14"/>
        </w:numPr>
        <w:rPr>
          <w:rFonts w:ascii="Times New Roman" w:hAnsi="Times New Roman" w:cs="Times New Roman"/>
          <w:sz w:val="28"/>
          <w:szCs w:val="28"/>
        </w:rPr>
      </w:pPr>
      <w:r w:rsidRPr="00265769">
        <w:rPr>
          <w:rFonts w:ascii="Times New Roman" w:hAnsi="Times New Roman" w:cs="Times New Roman"/>
          <w:sz w:val="28"/>
          <w:szCs w:val="28"/>
        </w:rPr>
        <w:t>recurrent self-contact,</w:t>
      </w:r>
    </w:p>
    <w:p w14:paraId="2F7D24D9" w14:textId="77777777" w:rsidR="00265769" w:rsidRPr="00265769" w:rsidRDefault="00265769" w:rsidP="00265769">
      <w:pPr>
        <w:numPr>
          <w:ilvl w:val="0"/>
          <w:numId w:val="14"/>
        </w:numPr>
        <w:rPr>
          <w:rFonts w:ascii="Times New Roman" w:hAnsi="Times New Roman" w:cs="Times New Roman"/>
          <w:sz w:val="28"/>
          <w:szCs w:val="28"/>
        </w:rPr>
      </w:pPr>
      <w:r w:rsidRPr="00265769">
        <w:rPr>
          <w:rFonts w:ascii="Times New Roman" w:hAnsi="Times New Roman" w:cs="Times New Roman"/>
          <w:sz w:val="28"/>
          <w:szCs w:val="28"/>
        </w:rPr>
        <w:t>posture stabilization,</w:t>
      </w:r>
    </w:p>
    <w:p w14:paraId="6EFB66FB" w14:textId="77777777" w:rsidR="00265769" w:rsidRPr="00265769" w:rsidRDefault="00265769" w:rsidP="00265769">
      <w:pPr>
        <w:numPr>
          <w:ilvl w:val="0"/>
          <w:numId w:val="14"/>
        </w:numPr>
        <w:rPr>
          <w:rFonts w:ascii="Times New Roman" w:hAnsi="Times New Roman" w:cs="Times New Roman"/>
          <w:sz w:val="28"/>
          <w:szCs w:val="28"/>
        </w:rPr>
      </w:pPr>
      <w:r w:rsidRPr="00265769">
        <w:rPr>
          <w:rFonts w:ascii="Times New Roman" w:hAnsi="Times New Roman" w:cs="Times New Roman"/>
          <w:sz w:val="28"/>
          <w:szCs w:val="28"/>
        </w:rPr>
        <w:lastRenderedPageBreak/>
        <w:t>repeated environmental orientations,</w:t>
      </w:r>
    </w:p>
    <w:p w14:paraId="3DAA9655"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without invoking goals or self-models.</w:t>
      </w:r>
    </w:p>
    <w:p w14:paraId="03F5B913" w14:textId="7C8C34C0"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Proto-agency in </w:t>
      </w: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is therefore </w:t>
      </w:r>
      <w:r w:rsidRPr="00265769">
        <w:rPr>
          <w:rFonts w:ascii="Times New Roman" w:hAnsi="Times New Roman" w:cs="Times New Roman"/>
          <w:b/>
          <w:bCs/>
          <w:sz w:val="28"/>
          <w:szCs w:val="28"/>
        </w:rPr>
        <w:t>structural inertia</w:t>
      </w:r>
      <w:r w:rsidRPr="00265769">
        <w:rPr>
          <w:rFonts w:ascii="Times New Roman" w:hAnsi="Times New Roman" w:cs="Times New Roman"/>
          <w:sz w:val="28"/>
          <w:szCs w:val="28"/>
        </w:rPr>
        <w:t>, not desire.</w:t>
      </w:r>
    </w:p>
    <w:p w14:paraId="04C9B757" w14:textId="7C96FCB1"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8 Failure Modes and Cognitive Death</w:t>
      </w:r>
    </w:p>
    <w:p w14:paraId="498B493D" w14:textId="77777777" w:rsidR="00265769" w:rsidRPr="00265769" w:rsidRDefault="00265769" w:rsidP="00265769">
      <w:pPr>
        <w:rPr>
          <w:rFonts w:ascii="Times New Roman" w:hAnsi="Times New Roman" w:cs="Times New Roman"/>
          <w:sz w:val="28"/>
          <w:szCs w:val="28"/>
        </w:rPr>
      </w:pPr>
      <w:proofErr w:type="spellStart"/>
      <w:r w:rsidRPr="00265769">
        <w:rPr>
          <w:rFonts w:ascii="Times New Roman" w:hAnsi="Times New Roman" w:cs="Times New Roman"/>
          <w:sz w:val="28"/>
          <w:szCs w:val="28"/>
        </w:rPr>
        <w:t>AnalogSynth</w:t>
      </w:r>
      <w:proofErr w:type="spellEnd"/>
      <w:r w:rsidRPr="00265769">
        <w:rPr>
          <w:rFonts w:ascii="Times New Roman" w:hAnsi="Times New Roman" w:cs="Times New Roman"/>
          <w:sz w:val="28"/>
          <w:szCs w:val="28"/>
        </w:rPr>
        <w:t xml:space="preserve"> cognition degrades through:</w:t>
      </w:r>
    </w:p>
    <w:p w14:paraId="7F8591AE"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excessive fatigue,</w:t>
      </w:r>
    </w:p>
    <w:p w14:paraId="4232CF53"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loss of coupling fidelity,</w:t>
      </w:r>
    </w:p>
    <w:p w14:paraId="32487A98"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homogenization of compliance (flattened gradients),</w:t>
      </w:r>
    </w:p>
    <w:p w14:paraId="2193F216"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electrical shorting or dissipation.</w:t>
      </w:r>
    </w:p>
    <w:p w14:paraId="05E80A77" w14:textId="4A3C1412" w:rsidR="00CF0AEE" w:rsidRDefault="00265769" w:rsidP="00A5644E">
      <w:pPr>
        <w:spacing w:after="0"/>
        <w:rPr>
          <w:rFonts w:ascii="Times New Roman" w:hAnsi="Times New Roman" w:cs="Times New Roman"/>
          <w:sz w:val="28"/>
          <w:szCs w:val="28"/>
        </w:rPr>
      </w:pPr>
      <w:r w:rsidRPr="00265769">
        <w:rPr>
          <w:rFonts w:ascii="Times New Roman" w:hAnsi="Times New Roman" w:cs="Times New Roman"/>
          <w:sz w:val="28"/>
          <w:szCs w:val="28"/>
        </w:rPr>
        <w:t xml:space="preserve">Death is not collapse but </w:t>
      </w:r>
      <w:r w:rsidRPr="00265769">
        <w:rPr>
          <w:rFonts w:ascii="Times New Roman" w:hAnsi="Times New Roman" w:cs="Times New Roman"/>
          <w:b/>
          <w:bCs/>
          <w:sz w:val="28"/>
          <w:szCs w:val="28"/>
        </w:rPr>
        <w:t>cognitive flattening</w:t>
      </w:r>
      <w:r w:rsidRPr="00265769">
        <w:rPr>
          <w:rFonts w:ascii="Times New Roman" w:hAnsi="Times New Roman" w:cs="Times New Roman"/>
          <w:sz w:val="28"/>
          <w:szCs w:val="28"/>
        </w:rPr>
        <w:t>: the medium becomes too uniform to bias behavior meaningfully. Movement may persist, but intelligence vanishes as gradients lose contrast.</w:t>
      </w:r>
      <w:r w:rsidR="00A5644E">
        <w:rPr>
          <w:rFonts w:ascii="Times New Roman" w:hAnsi="Times New Roman" w:cs="Times New Roman"/>
          <w:sz w:val="28"/>
          <w:szCs w:val="28"/>
        </w:rPr>
        <w:t xml:space="preserve"> </w:t>
      </w:r>
      <w:r w:rsidRPr="00265769">
        <w:rPr>
          <w:rFonts w:ascii="Times New Roman" w:hAnsi="Times New Roman" w:cs="Times New Roman"/>
          <w:sz w:val="28"/>
          <w:szCs w:val="28"/>
        </w:rPr>
        <w:t>There is no recovery, reset, or regeneration path.</w:t>
      </w:r>
    </w:p>
    <w:p w14:paraId="5609D452" w14:textId="77777777" w:rsidR="00C4550D" w:rsidRDefault="00C4550D" w:rsidP="00C4550D">
      <w:pPr>
        <w:pBdr>
          <w:bottom w:val="single" w:sz="4" w:space="1" w:color="auto"/>
        </w:pBdr>
        <w:rPr>
          <w:rFonts w:ascii="Times New Roman" w:hAnsi="Times New Roman" w:cs="Times New Roman"/>
          <w:sz w:val="28"/>
          <w:szCs w:val="28"/>
        </w:rPr>
      </w:pPr>
    </w:p>
    <w:p w14:paraId="7B894576" w14:textId="4DD92CEF"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 I</w:t>
      </w:r>
      <w:r>
        <w:rPr>
          <w:rFonts w:ascii="Times New Roman" w:hAnsi="Times New Roman" w:cs="Times New Roman"/>
          <w:b/>
          <w:bCs/>
          <w:sz w:val="34"/>
          <w:szCs w:val="34"/>
        </w:rPr>
        <w:t>ntelligence</w:t>
      </w:r>
      <w:r w:rsidRPr="00A5644E">
        <w:rPr>
          <w:rFonts w:ascii="Times New Roman" w:hAnsi="Times New Roman" w:cs="Times New Roman"/>
          <w:b/>
          <w:bCs/>
          <w:sz w:val="34"/>
          <w:szCs w:val="34"/>
        </w:rPr>
        <w:t xml:space="preserve">: </w:t>
      </w:r>
      <w:r w:rsidR="00CF0AEE" w:rsidRPr="00A5644E">
        <w:rPr>
          <w:rFonts w:ascii="Times New Roman" w:hAnsi="Times New Roman" w:cs="Times New Roman"/>
          <w:b/>
          <w:bCs/>
          <w:sz w:val="34"/>
          <w:szCs w:val="34"/>
        </w:rPr>
        <w:t>C</w:t>
      </w:r>
      <w:r>
        <w:rPr>
          <w:rFonts w:ascii="Times New Roman" w:hAnsi="Times New Roman" w:cs="Times New Roman"/>
          <w:b/>
          <w:bCs/>
          <w:sz w:val="34"/>
          <w:szCs w:val="34"/>
        </w:rPr>
        <w:t>ascade</w:t>
      </w:r>
      <w:r w:rsidR="00CF0AEE" w:rsidRPr="00A5644E">
        <w:rPr>
          <w:rFonts w:ascii="Times New Roman" w:hAnsi="Times New Roman" w:cs="Times New Roman"/>
          <w:b/>
          <w:bCs/>
          <w:sz w:val="34"/>
          <w:szCs w:val="34"/>
        </w:rPr>
        <w:t xml:space="preserve"> D</w:t>
      </w:r>
      <w:r>
        <w:rPr>
          <w:rFonts w:ascii="Times New Roman" w:hAnsi="Times New Roman" w:cs="Times New Roman"/>
          <w:b/>
          <w:bCs/>
          <w:sz w:val="34"/>
          <w:szCs w:val="34"/>
        </w:rPr>
        <w:t xml:space="preserve">ynamics </w:t>
      </w:r>
      <w:r w:rsidR="00CF0AEE" w:rsidRPr="00A5644E">
        <w:rPr>
          <w:rFonts w:ascii="Times New Roman" w:hAnsi="Times New Roman" w:cs="Times New Roman"/>
          <w:b/>
          <w:bCs/>
          <w:sz w:val="34"/>
          <w:szCs w:val="34"/>
        </w:rPr>
        <w:t>O</w:t>
      </w:r>
      <w:r>
        <w:rPr>
          <w:rFonts w:ascii="Times New Roman" w:hAnsi="Times New Roman" w:cs="Times New Roman"/>
          <w:b/>
          <w:bCs/>
          <w:sz w:val="34"/>
          <w:szCs w:val="34"/>
        </w:rPr>
        <w:t xml:space="preserve">perating Regime: </w:t>
      </w:r>
      <w:r w:rsidR="00CF0AEE" w:rsidRPr="00A5644E">
        <w:rPr>
          <w:rFonts w:ascii="Times New Roman" w:hAnsi="Times New Roman" w:cs="Times New Roman"/>
          <w:b/>
          <w:bCs/>
          <w:sz w:val="34"/>
          <w:szCs w:val="34"/>
        </w:rPr>
        <w:t xml:space="preserve">Conditions for Cognitive Propagation in the </w:t>
      </w:r>
      <w:proofErr w:type="spellStart"/>
      <w:r w:rsidR="00CF0AEE" w:rsidRPr="00A5644E">
        <w:rPr>
          <w:rFonts w:ascii="Times New Roman" w:hAnsi="Times New Roman" w:cs="Times New Roman"/>
          <w:b/>
          <w:bCs/>
          <w:sz w:val="34"/>
          <w:szCs w:val="34"/>
        </w:rPr>
        <w:t>AnalogSynth</w:t>
      </w:r>
      <w:proofErr w:type="spellEnd"/>
      <w:r w:rsidR="00CF0AEE" w:rsidRPr="00A5644E">
        <w:rPr>
          <w:rFonts w:ascii="Times New Roman" w:hAnsi="Times New Roman" w:cs="Times New Roman"/>
          <w:b/>
          <w:bCs/>
          <w:sz w:val="34"/>
          <w:szCs w:val="34"/>
        </w:rPr>
        <w:t xml:space="preserve"> Substrate</w:t>
      </w:r>
    </w:p>
    <w:p w14:paraId="552F20FA"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 xml:space="preserve">This section specifies the operating regime under which the </w:t>
      </w:r>
      <w:proofErr w:type="spellStart"/>
      <w:r w:rsidRPr="00CF0AEE">
        <w:rPr>
          <w:rFonts w:ascii="Times New Roman" w:hAnsi="Times New Roman" w:cs="Times New Roman"/>
          <w:sz w:val="28"/>
          <w:szCs w:val="28"/>
        </w:rPr>
        <w:t>AnalogSynth</w:t>
      </w:r>
      <w:proofErr w:type="spellEnd"/>
      <w:r w:rsidRPr="00CF0AEE">
        <w:rPr>
          <w:rFonts w:ascii="Times New Roman" w:hAnsi="Times New Roman" w:cs="Times New Roman"/>
          <w:sz w:val="28"/>
          <w:szCs w:val="28"/>
        </w:rPr>
        <w:t xml:space="preserve"> substrate functions as a cognitive medium. The architecture is designed to be robust across a wide range of material parameter values through overdetermination, stacked contrasts, distributed loading, nested adaptive gating, and self-reinforcing developmental feedback — so that exact parameter values determine the being's performance characteristics rather than its architectural viability.</w:t>
      </w:r>
    </w:p>
    <w:p w14:paraId="0C10FC47" w14:textId="76F390BA" w:rsidR="00CF0AEE" w:rsidRPr="00CF0AEE" w:rsidRDefault="00A5644E" w:rsidP="00A564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 xml:space="preserve">The central claim: </w:t>
      </w:r>
      <w:proofErr w:type="spellStart"/>
      <w:r w:rsidR="00CF0AEE" w:rsidRPr="00CF0AEE">
        <w:rPr>
          <w:rFonts w:ascii="Times New Roman" w:hAnsi="Times New Roman" w:cs="Times New Roman"/>
          <w:sz w:val="28"/>
          <w:szCs w:val="28"/>
        </w:rPr>
        <w:t>AnalogSynth's</w:t>
      </w:r>
      <w:proofErr w:type="spellEnd"/>
      <w:r w:rsidR="00CF0AEE" w:rsidRPr="00CF0AEE">
        <w:rPr>
          <w:rFonts w:ascii="Times New Roman" w:hAnsi="Times New Roman" w:cs="Times New Roman"/>
          <w:sz w:val="28"/>
          <w:szCs w:val="28"/>
        </w:rPr>
        <w:t xml:space="preserve"> substrate functions as a preloaded excitable medium with locally metastable regions whose threshold crossing releases bounded stored energy as a pulse, after which the region enters refractory recovery. Cascades propagate through selective threshold-triggered release along conditioned corridors in a globally subcritical background — not through continuous amplification of the perturbation signal.</w:t>
      </w:r>
    </w:p>
    <w:p w14:paraId="7087639E" w14:textId="7FC7AFE0"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0AEE" w:rsidRPr="00CF0AEE">
        <w:rPr>
          <w:rFonts w:ascii="Times New Roman" w:hAnsi="Times New Roman" w:cs="Times New Roman"/>
          <w:sz w:val="28"/>
          <w:szCs w:val="28"/>
        </w:rPr>
        <w:t>The architecture is cognitive only if all conditions in this section are simultaneously satisfied.</w:t>
      </w:r>
    </w:p>
    <w:p w14:paraId="15058656" w14:textId="0A7F61EB" w:rsidR="00CF0AEE" w:rsidRPr="00A5644E" w:rsidRDefault="00A5644E" w:rsidP="00A5644E">
      <w:pPr>
        <w:rPr>
          <w:rFonts w:ascii="Times New Roman" w:hAnsi="Times New Roman" w:cs="Times New Roman"/>
          <w:b/>
          <w:bCs/>
          <w:sz w:val="34"/>
          <w:szCs w:val="34"/>
        </w:rPr>
      </w:pPr>
      <w:r w:rsidRPr="00A5644E">
        <w:rPr>
          <w:rFonts w:ascii="Times New Roman" w:hAnsi="Times New Roman" w:cs="Times New Roman"/>
          <w:b/>
          <w:bCs/>
          <w:sz w:val="34"/>
          <w:szCs w:val="34"/>
        </w:rPr>
        <w:t xml:space="preserve">4.1 </w:t>
      </w:r>
      <w:r w:rsidR="00CF0AEE" w:rsidRPr="00A5644E">
        <w:rPr>
          <w:rFonts w:ascii="Times New Roman" w:hAnsi="Times New Roman" w:cs="Times New Roman"/>
          <w:b/>
          <w:bCs/>
          <w:sz w:val="34"/>
          <w:szCs w:val="34"/>
        </w:rPr>
        <w:t>THE EXCITABLE MEDIUM PRINCIPLE</w:t>
      </w:r>
    </w:p>
    <w:p w14:paraId="0FFF44DF"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The substrate does not operate as a passive amplifier chain. A perturbation does not power the next step. It gates the release of energy already stored in the neighboring region. The neighboring region fires from its own stored energy when the arriving perturbation crosses its local threshold.</w:t>
      </w:r>
    </w:p>
    <w:p w14:paraId="14D22D20" w14:textId="4A22E75F"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global requirement is not gain exceeding loss. It is: global subcriticality with locally conditioned near-critical corridors, bounded pulse-like release events, refractory recovery, directional bias, rich delay structure, and developmental corridor sharpening that outpaces lateral widening.</w:t>
      </w:r>
    </w:p>
    <w:p w14:paraId="5E19F399" w14:textId="3763B58F" w:rsidR="00CF0AEE" w:rsidRPr="00A5644E" w:rsidRDefault="00A5644E" w:rsidP="00A5644E">
      <w:pPr>
        <w:rPr>
          <w:rFonts w:ascii="Times New Roman" w:hAnsi="Times New Roman" w:cs="Times New Roman"/>
          <w:b/>
          <w:bCs/>
          <w:sz w:val="34"/>
          <w:szCs w:val="34"/>
        </w:rPr>
      </w:pPr>
      <w:r w:rsidRPr="00A5644E">
        <w:rPr>
          <w:rFonts w:ascii="Times New Roman" w:hAnsi="Times New Roman" w:cs="Times New Roman"/>
          <w:b/>
          <w:bCs/>
          <w:sz w:val="34"/>
          <w:szCs w:val="34"/>
        </w:rPr>
        <w:t xml:space="preserve">4.2 </w:t>
      </w:r>
      <w:r w:rsidR="00CF0AEE" w:rsidRPr="00A5644E">
        <w:rPr>
          <w:rFonts w:ascii="Times New Roman" w:hAnsi="Times New Roman" w:cs="Times New Roman"/>
          <w:b/>
          <w:bCs/>
          <w:sz w:val="34"/>
          <w:szCs w:val="34"/>
        </w:rPr>
        <w:t>STORED ENERGY RESERVOIRS</w:t>
      </w:r>
    </w:p>
    <w:p w14:paraId="24A31FA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substrate contains locally releasable stored energy from multiple sources. The stored energy powers cascade propagation. The perturbation only triggers its release.</w:t>
      </w:r>
    </w:p>
    <w:p w14:paraId="2102392A" w14:textId="4269335D"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 xml:space="preserve">4.3 </w:t>
      </w:r>
      <w:r w:rsidR="00CF0AEE" w:rsidRPr="00A5644E">
        <w:rPr>
          <w:rFonts w:ascii="Times New Roman" w:hAnsi="Times New Roman" w:cs="Times New Roman"/>
          <w:b/>
          <w:bCs/>
          <w:sz w:val="34"/>
          <w:szCs w:val="34"/>
        </w:rPr>
        <w:t>Residual Fabrication Prestress</w:t>
      </w:r>
    </w:p>
    <w:p w14:paraId="6D57BE8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Curing a multi-component graded composite around rigid inclusions of different thermal expansion coefficients and elastic moduli inside a rigid metal frame produces residual internal stress at every inclusion-matrix interface. Over approximately 100°C cooldown from cure to operating temperature, approximately 1% strain locks in at each interface — approximately 0.1-1 MPa of residual stress per inclusion in a matrix with modulus 10-100 MPa.</w:t>
      </w:r>
    </w:p>
    <w:p w14:paraId="5A34F258" w14:textId="3374E095"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4.4</w:t>
      </w:r>
      <w:r w:rsidR="00CF0AEE" w:rsidRPr="00A5644E">
        <w:rPr>
          <w:rFonts w:ascii="Times New Roman" w:hAnsi="Times New Roman" w:cs="Times New Roman"/>
          <w:b/>
          <w:bCs/>
          <w:sz w:val="34"/>
          <w:szCs w:val="34"/>
        </w:rPr>
        <w:t xml:space="preserve"> Thermomechanical Mismatch Energy</w:t>
      </w:r>
    </w:p>
    <w:p w14:paraId="3C4207E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sustained thermal gradient from the three-tier energy stack produces continuously replenished thermal stress from differential expansion between inclusions and matrix.</w:t>
      </w:r>
    </w:p>
    <w:p w14:paraId="4C357B36" w14:textId="08584F15"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 xml:space="preserve">4.5 </w:t>
      </w:r>
      <w:r w:rsidR="00CF0AEE" w:rsidRPr="00A5644E">
        <w:rPr>
          <w:rFonts w:ascii="Times New Roman" w:hAnsi="Times New Roman" w:cs="Times New Roman"/>
          <w:b/>
          <w:bCs/>
          <w:sz w:val="34"/>
          <w:szCs w:val="34"/>
        </w:rPr>
        <w:t>Metastable Electrostatic Fields (BaTiO3 as Stored Energy Source)</w:t>
      </w:r>
    </w:p>
    <w:p w14:paraId="3AC4A819"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lastRenderedPageBreak/>
        <w:t>Poled BaTiO3 particles store electrostatic energy in their aligned domain structure, producing a background electric field of approximately 10³ to 10⁴ V/m throughout the composite volume. The BaTiO3 phase is primarily an energy source — it provides the electrostatic field that powers cascade propagation. It is not the primary electrical-to-mechanical transducer. The background field from poled BaTiO3 is the fuel. The CNT snap redistributes it. The electrostriction in the polymer matrix converts it to mechanical output.</w:t>
      </w:r>
    </w:p>
    <w:p w14:paraId="2571ACFD" w14:textId="5E2F0F3A"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 xml:space="preserve">Background field strength scales with BaTiO3 loading, poling quality, and particle size. Trigger domains at 15-20 </w:t>
      </w:r>
      <w:proofErr w:type="spellStart"/>
      <w:r w:rsidR="00CF0AEE" w:rsidRPr="00CF0AEE">
        <w:rPr>
          <w:rFonts w:ascii="Times New Roman" w:hAnsi="Times New Roman" w:cs="Times New Roman"/>
          <w:sz w:val="28"/>
          <w:szCs w:val="28"/>
        </w:rPr>
        <w:t>wt</w:t>
      </w:r>
      <w:proofErr w:type="spellEnd"/>
      <w:r w:rsidR="00CF0AEE" w:rsidRPr="00CF0AEE">
        <w:rPr>
          <w:rFonts w:ascii="Times New Roman" w:hAnsi="Times New Roman" w:cs="Times New Roman"/>
          <w:sz w:val="28"/>
          <w:szCs w:val="28"/>
        </w:rPr>
        <w:t xml:space="preserve">% produce the strongest background fields. Corridor material at 4-6 </w:t>
      </w:r>
      <w:proofErr w:type="spellStart"/>
      <w:r w:rsidR="00CF0AEE" w:rsidRPr="00CF0AEE">
        <w:rPr>
          <w:rFonts w:ascii="Times New Roman" w:hAnsi="Times New Roman" w:cs="Times New Roman"/>
          <w:sz w:val="28"/>
          <w:szCs w:val="28"/>
        </w:rPr>
        <w:t>wt</w:t>
      </w:r>
      <w:proofErr w:type="spellEnd"/>
      <w:r w:rsidR="00CF0AEE" w:rsidRPr="00CF0AEE">
        <w:rPr>
          <w:rFonts w:ascii="Times New Roman" w:hAnsi="Times New Roman" w:cs="Times New Roman"/>
          <w:sz w:val="28"/>
          <w:szCs w:val="28"/>
        </w:rPr>
        <w:t xml:space="preserve">% produces moderate fields. Sink material at 2-3 </w:t>
      </w:r>
      <w:proofErr w:type="spellStart"/>
      <w:r w:rsidR="00CF0AEE" w:rsidRPr="00CF0AEE">
        <w:rPr>
          <w:rFonts w:ascii="Times New Roman" w:hAnsi="Times New Roman" w:cs="Times New Roman"/>
          <w:sz w:val="28"/>
          <w:szCs w:val="28"/>
        </w:rPr>
        <w:t>wt</w:t>
      </w:r>
      <w:proofErr w:type="spellEnd"/>
      <w:r w:rsidR="00CF0AEE" w:rsidRPr="00CF0AEE">
        <w:rPr>
          <w:rFonts w:ascii="Times New Roman" w:hAnsi="Times New Roman" w:cs="Times New Roman"/>
          <w:sz w:val="28"/>
          <w:szCs w:val="28"/>
        </w:rPr>
        <w:t>% with randomized poling produces the weakest fields. This loading-dependent field strength is one of the stacked orthogonal contrasts that separates the three regimes.</w:t>
      </w:r>
    </w:p>
    <w:p w14:paraId="15061A96" w14:textId="42FF1B9C"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4.6</w:t>
      </w:r>
      <w:r w:rsidR="00CF0AEE" w:rsidRPr="00A5644E">
        <w:rPr>
          <w:rFonts w:ascii="Times New Roman" w:hAnsi="Times New Roman" w:cs="Times New Roman"/>
          <w:b/>
          <w:bCs/>
          <w:sz w:val="34"/>
          <w:szCs w:val="34"/>
        </w:rPr>
        <w:t xml:space="preserve"> Near-Percolation CNT Network Sensitivity</w:t>
      </w:r>
    </w:p>
    <w:p w14:paraId="2636BA9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CNT network just below percolation converts small mechanical perturbation into disproportionately large electrical perturbation through the nonlinear percolation transition. The CNT network is the sensitivity mechanism that determines whether a perturbation reaches the local release threshold and the field-redistribution geometry that concentrates the stored BaTiO3 field at the cascade propagation front.</w:t>
      </w:r>
    </w:p>
    <w:p w14:paraId="1CA030DB" w14:textId="3D241162"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4.7</w:t>
      </w:r>
      <w:r w:rsidR="00CF0AEE" w:rsidRPr="00A5644E">
        <w:rPr>
          <w:rFonts w:ascii="Times New Roman" w:hAnsi="Times New Roman" w:cs="Times New Roman"/>
          <w:b/>
          <w:bCs/>
          <w:sz w:val="34"/>
          <w:szCs w:val="34"/>
        </w:rPr>
        <w:t xml:space="preserve"> Gravitational Preload</w:t>
      </w:r>
    </w:p>
    <w:p w14:paraId="487F15C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Gravity provides sustained baseline stress throughout the body — the coarsest stored energy source.</w:t>
      </w:r>
    </w:p>
    <w:p w14:paraId="4E73536D" w14:textId="034E8462"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4.8</w:t>
      </w:r>
      <w:r w:rsidR="00CF0AEE" w:rsidRPr="00A5644E">
        <w:rPr>
          <w:rFonts w:ascii="Times New Roman" w:hAnsi="Times New Roman" w:cs="Times New Roman"/>
          <w:b/>
          <w:bCs/>
          <w:sz w:val="34"/>
          <w:szCs w:val="34"/>
        </w:rPr>
        <w:t xml:space="preserve"> Energy Hierarchy</w:t>
      </w:r>
    </w:p>
    <w:p w14:paraId="73C6F562" w14:textId="763951C1"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BaTiO3 stored electrostatic fields are the primary energy source powering cascade propagation. Fabrication prestress and thermomechanical mismatch provide supplementary mechanical stored energy. The CNT network is the sensitivity and field-redistribution mechanism. Gravity provides global background.</w:t>
      </w:r>
    </w:p>
    <w:p w14:paraId="32C09E4C" w14:textId="5674D64D" w:rsidR="00CF0AEE" w:rsidRPr="00A5644E" w:rsidRDefault="00A5644E" w:rsidP="00A5644E">
      <w:pPr>
        <w:rPr>
          <w:rFonts w:ascii="Times New Roman" w:hAnsi="Times New Roman" w:cs="Times New Roman"/>
          <w:b/>
          <w:bCs/>
          <w:sz w:val="34"/>
          <w:szCs w:val="34"/>
        </w:rPr>
      </w:pPr>
      <w:r w:rsidRPr="00A5644E">
        <w:rPr>
          <w:rFonts w:ascii="Times New Roman" w:hAnsi="Times New Roman" w:cs="Times New Roman"/>
          <w:b/>
          <w:bCs/>
          <w:sz w:val="34"/>
          <w:szCs w:val="34"/>
        </w:rPr>
        <w:t xml:space="preserve">4.9 </w:t>
      </w:r>
      <w:r>
        <w:rPr>
          <w:rFonts w:ascii="Times New Roman" w:hAnsi="Times New Roman" w:cs="Times New Roman"/>
          <w:b/>
          <w:bCs/>
          <w:sz w:val="34"/>
          <w:szCs w:val="34"/>
        </w:rPr>
        <w:t>The Pulse-like Release Mechanism</w:t>
      </w:r>
    </w:p>
    <w:p w14:paraId="2285A074" w14:textId="7C6F1797" w:rsidR="00CF0AEE" w:rsidRPr="00A5644E" w:rsidRDefault="00A5644E" w:rsidP="00CF0AEE">
      <w:pPr>
        <w:rPr>
          <w:rFonts w:ascii="Times New Roman" w:hAnsi="Times New Roman" w:cs="Times New Roman"/>
          <w:b/>
          <w:bCs/>
          <w:sz w:val="34"/>
          <w:szCs w:val="34"/>
        </w:rPr>
      </w:pPr>
      <w:r>
        <w:rPr>
          <w:rFonts w:ascii="Times New Roman" w:hAnsi="Times New Roman" w:cs="Times New Roman"/>
          <w:b/>
          <w:bCs/>
          <w:sz w:val="34"/>
          <w:szCs w:val="34"/>
        </w:rPr>
        <w:t>4.10</w:t>
      </w:r>
      <w:r w:rsidRPr="00A5644E">
        <w:rPr>
          <w:rFonts w:ascii="Times New Roman" w:hAnsi="Times New Roman" w:cs="Times New Roman"/>
          <w:b/>
          <w:bCs/>
          <w:sz w:val="34"/>
          <w:szCs w:val="34"/>
        </w:rPr>
        <w:t xml:space="preserve"> </w:t>
      </w:r>
      <w:r w:rsidR="00CF0AEE" w:rsidRPr="00A5644E">
        <w:rPr>
          <w:rFonts w:ascii="Times New Roman" w:hAnsi="Times New Roman" w:cs="Times New Roman"/>
          <w:b/>
          <w:bCs/>
          <w:sz w:val="34"/>
          <w:szCs w:val="34"/>
        </w:rPr>
        <w:t>Cooperative CNT Junction Snap</w:t>
      </w:r>
    </w:p>
    <w:p w14:paraId="7B69499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A CNT network just below percolation contains junctions individually below conducting threshold. Mechanical deformation pushes sub-threshold junctions across threshold. Near percolation, crossings are cooperative — one junction connecting changes local stress through the stiff CNT (approximately 1000x stiffer than matrix), pushing neighboring junctions across threshold. A local cluster of junctions snaps from non-conducting to conducting.</w:t>
      </w:r>
    </w:p>
    <w:p w14:paraId="113A3D8B" w14:textId="0AB77E0D"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4.11</w:t>
      </w:r>
      <w:r w:rsidR="00CF0AEE" w:rsidRPr="00A5644E">
        <w:rPr>
          <w:rFonts w:ascii="Times New Roman" w:hAnsi="Times New Roman" w:cs="Times New Roman"/>
          <w:b/>
          <w:bCs/>
          <w:sz w:val="34"/>
          <w:szCs w:val="34"/>
        </w:rPr>
        <w:t xml:space="preserve"> Conducting Island and Field Concentration</w:t>
      </w:r>
    </w:p>
    <w:p w14:paraId="0257BCD1"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The cooperative snap creates a conducting island — a region of approximately 10-100 micrometers where the CNT network is locally above percolation, surrounded by non-conducting matrix. The BaTiO3 background field, previously distributed uniformly through the non-conducting medium, is expelled from the conducting island's interior (electrostatics requires zero field inside a conductor) and redistributed into the surrounding dielectric.</w:t>
      </w:r>
    </w:p>
    <w:p w14:paraId="7AF33DB1" w14:textId="5273E164" w:rsidR="00CF0AEE" w:rsidRPr="00CF0AEE" w:rsidRDefault="00A5644E" w:rsidP="00A564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redistributed field concentrates at the conducting island's boundary, with maximum concentration at the tips and elongated features of the cluster. CNT clusters at percolation are high-aspect-ratio conductors (individual CNTs have aspect ratios of 100-10,000). The field concentration factor at the cluster tips scales with the effective cluster aspect ratio — approximately 5-50x in the real lossy composite (below the 10-100x of an ideal conductor in vacuum, reduced by finite cluster conductivity, surrounding matrix conductivity from sub-percolation paths, and irregular cluster geometry).</w:t>
      </w:r>
    </w:p>
    <w:p w14:paraId="6092B01A" w14:textId="4EAA9BA1"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concentrated field is highest at the cluster boundary — exactly where the next un-snapped junctions sit. This is not a design choice. It is a consequence of electrostatics: the field concentrates at the boundary between conducting and non-conducting regions, which is where the cascade propagation front is.</w:t>
      </w:r>
    </w:p>
    <w:p w14:paraId="767ACF80" w14:textId="116E3DC1" w:rsidR="00CF0AEE" w:rsidRPr="00E47666" w:rsidRDefault="00A5644E"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4.12 </w:t>
      </w:r>
      <w:r w:rsidR="00CF0AEE" w:rsidRPr="00E47666">
        <w:rPr>
          <w:rFonts w:ascii="Times New Roman" w:hAnsi="Times New Roman" w:cs="Times New Roman"/>
          <w:b/>
          <w:bCs/>
          <w:sz w:val="34"/>
          <w:szCs w:val="34"/>
        </w:rPr>
        <w:t>Electrostriction: The Primary Electrical-to-Mechanical Coupling</w:t>
      </w:r>
    </w:p>
    <w:p w14:paraId="60775D94"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The concentrated field at the cluster boundary produces Maxwell stress (electrostriction) in the polyurethane matrix between the conducting cluster and the neighboring un-snapped junctions. The Maxwell stress is: σ = ε₀εᵣE²/2, where εᵣ is the matrix permittivity (approximately 5-10 for polyurethane) and E is the local concentrated field.</w:t>
      </w:r>
    </w:p>
    <w:p w14:paraId="5E4DEF2D" w14:textId="33BDFA2B" w:rsidR="00CF0AEE" w:rsidRPr="00CF0AEE" w:rsidRDefault="00E47666" w:rsidP="00E4766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0AEE" w:rsidRPr="00CF0AEE">
        <w:rPr>
          <w:rFonts w:ascii="Times New Roman" w:hAnsi="Times New Roman" w:cs="Times New Roman"/>
          <w:sz w:val="28"/>
          <w:szCs w:val="28"/>
        </w:rPr>
        <w:t xml:space="preserve">At local field of 5 × 10⁵ V/m (background field 10⁴ V/m × concentration factor 50): Maxwell stress approximately 8 kPa. Strain at 10 MPa matrix modulus: approximately 800 nm/mm. Across a 10 </w:t>
      </w:r>
      <w:proofErr w:type="spellStart"/>
      <w:r w:rsidR="00CF0AEE" w:rsidRPr="00CF0AEE">
        <w:rPr>
          <w:rFonts w:ascii="Times New Roman" w:hAnsi="Times New Roman" w:cs="Times New Roman"/>
          <w:sz w:val="28"/>
          <w:szCs w:val="28"/>
        </w:rPr>
        <w:t>μm</w:t>
      </w:r>
      <w:proofErr w:type="spellEnd"/>
      <w:r w:rsidR="00CF0AEE" w:rsidRPr="00CF0AEE">
        <w:rPr>
          <w:rFonts w:ascii="Times New Roman" w:hAnsi="Times New Roman" w:cs="Times New Roman"/>
          <w:sz w:val="28"/>
          <w:szCs w:val="28"/>
        </w:rPr>
        <w:t xml:space="preserve"> polymer gap between cluster tip and neighboring junction: approximately 8 nm displacement. This exceeds the 1-10 nm junction gap change needed for the next cooperative snap.</w:t>
      </w:r>
    </w:p>
    <w:p w14:paraId="6EDD6737" w14:textId="5EC02C0E" w:rsidR="00CF0AEE" w:rsidRPr="00CF0AEE" w:rsidRDefault="00E47666" w:rsidP="00E476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Maxwell stress is compressive along the field direction — it squeezes the polymer between the conducting cluster and the neighboring region. This compression directly closes the junction gaps in the field direction. The strain transfer efficiency is high because the junction gap IS the polymer between stiff CNT endpoints — the deforming element is the target element.</w:t>
      </w:r>
    </w:p>
    <w:p w14:paraId="3ECD88F7" w14:textId="3E451C3D" w:rsidR="00CF0AEE" w:rsidRPr="00CF0AEE" w:rsidRDefault="00E47666"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 xml:space="preserve">This replaces the earlier specification of BaTiO3 inverse piezoelectricity as the primary electrical-to-mechanical pathway. Dilute BaTiO3 at 3-8 </w:t>
      </w:r>
      <w:proofErr w:type="spellStart"/>
      <w:r w:rsidR="00CF0AEE" w:rsidRPr="00CF0AEE">
        <w:rPr>
          <w:rFonts w:ascii="Times New Roman" w:hAnsi="Times New Roman" w:cs="Times New Roman"/>
          <w:sz w:val="28"/>
          <w:szCs w:val="28"/>
        </w:rPr>
        <w:t>wt</w:t>
      </w:r>
      <w:proofErr w:type="spellEnd"/>
      <w:r w:rsidR="00CF0AEE" w:rsidRPr="00CF0AEE">
        <w:rPr>
          <w:rFonts w:ascii="Times New Roman" w:hAnsi="Times New Roman" w:cs="Times New Roman"/>
          <w:sz w:val="28"/>
          <w:szCs w:val="28"/>
        </w:rPr>
        <w:t>% produces inverse piezoelectric strain approximately two to three orders of magnitude too weak to drive neighbor triggering. Electrostriction in the bulk polymer under the concentrated redistributed field is the correct dominant coupling mechanism.</w:t>
      </w:r>
    </w:p>
    <w:p w14:paraId="6E0C396E" w14:textId="0E6D93A9"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4.13</w:t>
      </w:r>
      <w:r w:rsidR="00CF0AEE" w:rsidRPr="00E47666">
        <w:rPr>
          <w:rFonts w:ascii="Times New Roman" w:hAnsi="Times New Roman" w:cs="Times New Roman"/>
          <w:b/>
          <w:bCs/>
          <w:sz w:val="34"/>
          <w:szCs w:val="34"/>
        </w:rPr>
        <w:t xml:space="preserve"> Complete Cascade Cycle</w:t>
      </w:r>
    </w:p>
    <w:p w14:paraId="660418A9"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Mechanical perturbation → cooperative CNT junction snap → conducting island forms → BaTiO3 background field expelled from conductor and concentrated at cluster tips (5-50x) → concentrated field produces Maxwell stress in polymer at cluster boundary → Maxwell stress compresses polymer between cluster tip and neighboring junctions → junction gaps close → neighboring junctions snap → cascade propagates.</w:t>
      </w:r>
    </w:p>
    <w:p w14:paraId="4632F438" w14:textId="5D8C69F0" w:rsidR="00CF0AEE" w:rsidRPr="00CF0AEE" w:rsidRDefault="00E47666"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energy source is stored BaTiO3 electrostatic field. The sensitivity mechanism is near-percolation CNT cooperativity. The transduction mechanism is electrostriction (Maxwell stress) in the polyurethane matrix. The field concentration is a geometric consequence of CNT cluster aspect ratio. The strain delivery to target junctions is geometrically self-directing — the field concentrates where the next junctions are.</w:t>
      </w:r>
    </w:p>
    <w:p w14:paraId="2BCFE69B" w14:textId="150AAF1A"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4.14 </w:t>
      </w:r>
      <w:r w:rsidR="00CF0AEE" w:rsidRPr="00E47666">
        <w:rPr>
          <w:rFonts w:ascii="Times New Roman" w:hAnsi="Times New Roman" w:cs="Times New Roman"/>
          <w:b/>
          <w:bCs/>
          <w:sz w:val="34"/>
          <w:szCs w:val="34"/>
        </w:rPr>
        <w:t>Elastic Recovery Terminates the Event</w:t>
      </w:r>
    </w:p>
    <w:p w14:paraId="61CE8F1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Soft-segment elastic recovery on millisecond timescales pulls junction gaps back above threshold. The conducting cluster disconnects. The event terminates. </w:t>
      </w:r>
      <w:r w:rsidRPr="00CF0AEE">
        <w:rPr>
          <w:rFonts w:ascii="Times New Roman" w:hAnsi="Times New Roman" w:cs="Times New Roman"/>
          <w:sz w:val="28"/>
          <w:szCs w:val="28"/>
        </w:rPr>
        <w:lastRenderedPageBreak/>
        <w:t>Termination is guaranteed by the force hierarchy: elastic recovery force exceeds Maxwell stress feedback by orders of magnitude at the specified field levels.</w:t>
      </w:r>
    </w:p>
    <w:p w14:paraId="4C553E53" w14:textId="1BE9320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4.15</w:t>
      </w:r>
      <w:r w:rsidR="00CF0AEE" w:rsidRPr="00E47666">
        <w:rPr>
          <w:rFonts w:ascii="Times New Roman" w:hAnsi="Times New Roman" w:cs="Times New Roman"/>
          <w:b/>
          <w:bCs/>
          <w:sz w:val="34"/>
          <w:szCs w:val="34"/>
        </w:rPr>
        <w:t xml:space="preserve"> Pulse Timescale Ordering</w:t>
      </w:r>
    </w:p>
    <w:p w14:paraId="7D44DA7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Snap plus neighbor propagation (microseconds) is approximately three orders of magnitude faster than recovery onset (milliseconds). The pulse reaches the neighbor at near-peak amplitude well before recovery begins.</w:t>
      </w:r>
    </w:p>
    <w:p w14:paraId="557E82D7" w14:textId="209BD36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4.16</w:t>
      </w:r>
      <w:r w:rsidR="00CF0AEE" w:rsidRPr="00E47666">
        <w:rPr>
          <w:rFonts w:ascii="Times New Roman" w:hAnsi="Times New Roman" w:cs="Times New Roman"/>
          <w:b/>
          <w:bCs/>
          <w:sz w:val="34"/>
          <w:szCs w:val="34"/>
        </w:rPr>
        <w:t xml:space="preserve"> Clamped Pulse Amplitude</w:t>
      </w:r>
    </w:p>
    <w:p w14:paraId="716E4A2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Trigger domains contain many small patches with limited local stored-energy reservoirs. Each patch releases its finite stored energy as a bounded pulse that saturates at the reservoir capacity. Pulse amplitude is set by patch geometry and local BaTiO3 field density — fabrication parameters — rather than by variable cooperative dynamics.</w:t>
      </w:r>
    </w:p>
    <w:p w14:paraId="2F1F57B1" w14:textId="044784F7"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4.17</w:t>
      </w:r>
      <w:r w:rsidR="00CF0AEE" w:rsidRPr="00E47666">
        <w:rPr>
          <w:rFonts w:ascii="Times New Roman" w:hAnsi="Times New Roman" w:cs="Times New Roman"/>
          <w:b/>
          <w:bCs/>
          <w:sz w:val="34"/>
          <w:szCs w:val="34"/>
        </w:rPr>
        <w:t xml:space="preserve"> Cascade Vigor and the Two-Knob Threshold</w:t>
      </w:r>
    </w:p>
    <w:p w14:paraId="6073EAA7"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Cascade vigor depends on the product: BaTiO3 background field × CNT cluster concentration factor. This product must exceed approximately 3 × 10⁵ to 10⁶ V/m at cluster boundaries for cascade propagation. Both factors are independently adjustable through fabrication: higher BaTiO3 loading increases background field; higher-aspect-ratio CNTs increase concentration factor. If one is lower than expected, the other can be increased. The architecture has two independent knobs for the one critical product.</w:t>
      </w:r>
    </w:p>
    <w:p w14:paraId="59FE0233" w14:textId="46CD2A64" w:rsidR="00CF0AEE" w:rsidRPr="00CF0AEE" w:rsidRDefault="00E47666"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CNT specification for maximum concentration factor: single-walled or few-walled CNTs with aspect ratio above 1000, functionalized with carboxyl groups for matrix bonding. Higher aspect ratio produces more elongated conducting clusters at percolation, increasing field concentration at tips.</w:t>
      </w:r>
    </w:p>
    <w:p w14:paraId="6B0C3CFF" w14:textId="77777777" w:rsidR="00E47666" w:rsidRDefault="00CF0AEE" w:rsidP="00E47666">
      <w:pPr>
        <w:rPr>
          <w:rFonts w:ascii="Times New Roman" w:hAnsi="Times New Roman" w:cs="Times New Roman"/>
          <w:sz w:val="28"/>
          <w:szCs w:val="28"/>
        </w:rPr>
      </w:pPr>
      <w:r w:rsidRPr="00CF0AEE">
        <w:rPr>
          <w:rFonts w:ascii="Times New Roman" w:hAnsi="Times New Roman" w:cs="Times New Roman"/>
          <w:sz w:val="28"/>
          <w:szCs w:val="28"/>
        </w:rPr>
        <w:t xml:space="preserve">BaTiO3 specification for maximum background field: 1-2 </w:t>
      </w:r>
      <w:proofErr w:type="spellStart"/>
      <w:r w:rsidRPr="00CF0AEE">
        <w:rPr>
          <w:rFonts w:ascii="Times New Roman" w:hAnsi="Times New Roman" w:cs="Times New Roman"/>
          <w:sz w:val="28"/>
          <w:szCs w:val="28"/>
        </w:rPr>
        <w:t>μm</w:t>
      </w:r>
      <w:proofErr w:type="spellEnd"/>
      <w:r w:rsidRPr="00CF0AEE">
        <w:rPr>
          <w:rFonts w:ascii="Times New Roman" w:hAnsi="Times New Roman" w:cs="Times New Roman"/>
          <w:sz w:val="28"/>
          <w:szCs w:val="28"/>
        </w:rPr>
        <w:t xml:space="preserve"> diameter particles, poled at 3-5 kV/mm at 120°C for 30 minutes (near Curie temperature for maximum domain alignment). Trigger domains at 15-20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xml:space="preserve">% for maximum stored energy. Corridor material at 4-6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xml:space="preserve">%. Sink material at 2-3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with randomized poling.</w:t>
      </w:r>
    </w:p>
    <w:p w14:paraId="2D56BDE9" w14:textId="7DEBB17C"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4.18 </w:t>
      </w:r>
      <w:r w:rsidR="00CF0AEE" w:rsidRPr="00E47666">
        <w:rPr>
          <w:rFonts w:ascii="Times New Roman" w:hAnsi="Times New Roman" w:cs="Times New Roman"/>
          <w:b/>
          <w:bCs/>
          <w:sz w:val="34"/>
          <w:szCs w:val="34"/>
        </w:rPr>
        <w:t>THREE-REGIME EXCITABLE ARCHITECTURE</w:t>
      </w:r>
    </w:p>
    <w:p w14:paraId="73C0716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The substrate is a three-regime medium. Regime separation comes from multiple orthogonal material contrasts simultaneously.</w:t>
      </w:r>
    </w:p>
    <w:p w14:paraId="38CBE8EE" w14:textId="5604DD01" w:rsidR="00CF0AEE" w:rsidRPr="00E47666" w:rsidRDefault="00CF0AEE" w:rsidP="00CF0AEE">
      <w:pPr>
        <w:rPr>
          <w:rFonts w:ascii="Times New Roman" w:hAnsi="Times New Roman" w:cs="Times New Roman"/>
          <w:b/>
          <w:bCs/>
          <w:sz w:val="34"/>
          <w:szCs w:val="34"/>
        </w:rPr>
      </w:pPr>
      <w:r w:rsidRPr="00E47666">
        <w:rPr>
          <w:rFonts w:ascii="Times New Roman" w:hAnsi="Times New Roman" w:cs="Times New Roman"/>
          <w:b/>
          <w:bCs/>
          <w:sz w:val="34"/>
          <w:szCs w:val="34"/>
        </w:rPr>
        <w:t>4.1</w:t>
      </w:r>
      <w:r w:rsidR="00E47666" w:rsidRPr="00E47666">
        <w:rPr>
          <w:rFonts w:ascii="Times New Roman" w:hAnsi="Times New Roman" w:cs="Times New Roman"/>
          <w:b/>
          <w:bCs/>
          <w:sz w:val="34"/>
          <w:szCs w:val="34"/>
        </w:rPr>
        <w:t>9</w:t>
      </w:r>
      <w:r w:rsidRPr="00E47666">
        <w:rPr>
          <w:rFonts w:ascii="Times New Roman" w:hAnsi="Times New Roman" w:cs="Times New Roman"/>
          <w:b/>
          <w:bCs/>
          <w:sz w:val="34"/>
          <w:szCs w:val="34"/>
        </w:rPr>
        <w:t xml:space="preserve"> Trigger Domains</w:t>
      </w:r>
    </w:p>
    <w:p w14:paraId="01B3C69C" w14:textId="77777777" w:rsidR="00CF0AEE" w:rsidRPr="00CF0AEE" w:rsidRDefault="00CF0AEE" w:rsidP="008608BE">
      <w:pPr>
        <w:rPr>
          <w:rFonts w:ascii="Times New Roman" w:hAnsi="Times New Roman" w:cs="Times New Roman"/>
          <w:sz w:val="28"/>
          <w:szCs w:val="28"/>
        </w:rPr>
      </w:pPr>
      <w:r w:rsidRPr="00CF0AEE">
        <w:rPr>
          <w:rFonts w:ascii="Times New Roman" w:hAnsi="Times New Roman" w:cs="Times New Roman"/>
          <w:sz w:val="28"/>
          <w:szCs w:val="28"/>
        </w:rPr>
        <w:t>Located at primary coupling surfaces: palmar hand surfaces, retinal coupling laminae, lateral acoustic regions, facial plate interface, plantar foot surfaces. Organized as distributed trigger fields composed of overlapping local sectors.</w:t>
      </w:r>
    </w:p>
    <w:p w14:paraId="01CDE022" w14:textId="2B17FE5C" w:rsidR="008608BE" w:rsidRDefault="008608BE" w:rsidP="00CF0AEE">
      <w:pPr>
        <w:rPr>
          <w:rFonts w:ascii="Times New Roman" w:hAnsi="Times New Roman" w:cs="Times New Roman"/>
          <w:sz w:val="28"/>
          <w:szCs w:val="28"/>
        </w:rPr>
      </w:pPr>
      <w:r w:rsidRPr="008608BE">
        <w:rPr>
          <w:rFonts w:ascii="Times New Roman" w:hAnsi="Times New Roman" w:cs="Times New Roman"/>
          <w:sz w:val="28"/>
          <w:szCs w:val="28"/>
        </w:rPr>
        <w:t xml:space="preserve">Material: CNT at 90-98% of percolation. BaTiO3 at 15-20 </w:t>
      </w:r>
      <w:proofErr w:type="spellStart"/>
      <w:r w:rsidRPr="008608BE">
        <w:rPr>
          <w:rFonts w:ascii="Times New Roman" w:hAnsi="Times New Roman" w:cs="Times New Roman"/>
          <w:sz w:val="28"/>
          <w:szCs w:val="28"/>
        </w:rPr>
        <w:t>wt</w:t>
      </w:r>
      <w:proofErr w:type="spellEnd"/>
      <w:r w:rsidRPr="008608BE">
        <w:rPr>
          <w:rFonts w:ascii="Times New Roman" w:hAnsi="Times New Roman" w:cs="Times New Roman"/>
          <w:sz w:val="28"/>
          <w:szCs w:val="28"/>
        </w:rPr>
        <w:t xml:space="preserve">% (maximum stored energy, maximum background field, strongest pulse generation). Base polymer soft-segment fraction high for fast elastic recovery and short refractory period. Prestress density highest. Effective composite modulus moderate — the high BaTiO3 ceramic loading (15-20 </w:t>
      </w:r>
      <w:proofErr w:type="spellStart"/>
      <w:r w:rsidRPr="008608BE">
        <w:rPr>
          <w:rFonts w:ascii="Times New Roman" w:hAnsi="Times New Roman" w:cs="Times New Roman"/>
          <w:sz w:val="28"/>
          <w:szCs w:val="28"/>
        </w:rPr>
        <w:t>wt</w:t>
      </w:r>
      <w:proofErr w:type="spellEnd"/>
      <w:r w:rsidRPr="008608BE">
        <w:rPr>
          <w:rFonts w:ascii="Times New Roman" w:hAnsi="Times New Roman" w:cs="Times New Roman"/>
          <w:sz w:val="28"/>
          <w:szCs w:val="28"/>
        </w:rPr>
        <w:t>%) partially stiffens the composite despite the high soft-segment base polymer, producing consistent bounded pulses rather than variable soft deformation.</w:t>
      </w:r>
    </w:p>
    <w:p w14:paraId="1B605EA5" w14:textId="680F1212"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4.20</w:t>
      </w:r>
      <w:r w:rsidR="00CF0AEE" w:rsidRPr="00E47666">
        <w:rPr>
          <w:rFonts w:ascii="Times New Roman" w:hAnsi="Times New Roman" w:cs="Times New Roman"/>
          <w:b/>
          <w:bCs/>
          <w:sz w:val="34"/>
          <w:szCs w:val="34"/>
        </w:rPr>
        <w:t xml:space="preserve"> Propagation Corridors</w:t>
      </w:r>
    </w:p>
    <w:p w14:paraId="5B1BA8B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Form through developmental conditioning of corridor-regime material.</w:t>
      </w:r>
    </w:p>
    <w:p w14:paraId="75DF862F" w14:textId="2C282425" w:rsidR="008608BE" w:rsidRPr="00CF0AEE" w:rsidRDefault="008608BE" w:rsidP="00CF0AEE">
      <w:pPr>
        <w:rPr>
          <w:rFonts w:ascii="Times New Roman" w:hAnsi="Times New Roman" w:cs="Times New Roman"/>
          <w:sz w:val="28"/>
          <w:szCs w:val="28"/>
        </w:rPr>
      </w:pPr>
      <w:r w:rsidRPr="008608BE">
        <w:rPr>
          <w:rFonts w:ascii="Times New Roman" w:hAnsi="Times New Roman" w:cs="Times New Roman"/>
          <w:sz w:val="28"/>
          <w:szCs w:val="28"/>
        </w:rPr>
        <w:t xml:space="preserve">Material: CNT at 70-85% of percolation (subcritical when unconditioned). BaTiO3 at 4-6 </w:t>
      </w:r>
      <w:proofErr w:type="spellStart"/>
      <w:r w:rsidRPr="008608BE">
        <w:rPr>
          <w:rFonts w:ascii="Times New Roman" w:hAnsi="Times New Roman" w:cs="Times New Roman"/>
          <w:sz w:val="28"/>
          <w:szCs w:val="28"/>
        </w:rPr>
        <w:t>wt</w:t>
      </w:r>
      <w:proofErr w:type="spellEnd"/>
      <w:r w:rsidRPr="008608BE">
        <w:rPr>
          <w:rFonts w:ascii="Times New Roman" w:hAnsi="Times New Roman" w:cs="Times New Roman"/>
          <w:sz w:val="28"/>
          <w:szCs w:val="28"/>
        </w:rPr>
        <w:t xml:space="preserve">% (moderate background field — corridor cascades inherently weaker than trigger pulses). Moderate-to-high soft-segment fraction. Effective composite modulus lowest of the three regimes — the low BaTiO3 ceramic loading adds minimal stiffening, making corridors the most </w:t>
      </w:r>
      <w:proofErr w:type="spellStart"/>
      <w:r w:rsidRPr="008608BE">
        <w:rPr>
          <w:rFonts w:ascii="Times New Roman" w:hAnsi="Times New Roman" w:cs="Times New Roman"/>
          <w:sz w:val="28"/>
          <w:szCs w:val="28"/>
        </w:rPr>
        <w:t>electrostrictively</w:t>
      </w:r>
      <w:proofErr w:type="spellEnd"/>
      <w:r w:rsidRPr="008608BE">
        <w:rPr>
          <w:rFonts w:ascii="Times New Roman" w:hAnsi="Times New Roman" w:cs="Times New Roman"/>
          <w:sz w:val="28"/>
          <w:szCs w:val="28"/>
        </w:rPr>
        <w:t xml:space="preserve"> responsive regime. Cascades propagate most easily through corridors because the same Maxwell stress produces more junction displacement in softer material. The write law operates most efficiently in corridors because the softer matrix permits more permanent deformation per event during the recovery window.</w:t>
      </w:r>
    </w:p>
    <w:p w14:paraId="2443C3D6" w14:textId="7E132003" w:rsidR="00CF0AEE" w:rsidRPr="00E47666" w:rsidRDefault="00CF0AEE"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E47666" w:rsidRPr="00E47666">
        <w:rPr>
          <w:rFonts w:ascii="Times New Roman" w:hAnsi="Times New Roman" w:cs="Times New Roman"/>
          <w:b/>
          <w:bCs/>
          <w:sz w:val="34"/>
          <w:szCs w:val="34"/>
        </w:rPr>
        <w:t>21</w:t>
      </w:r>
      <w:r w:rsidRPr="00E47666">
        <w:rPr>
          <w:rFonts w:ascii="Times New Roman" w:hAnsi="Times New Roman" w:cs="Times New Roman"/>
          <w:b/>
          <w:bCs/>
          <w:sz w:val="34"/>
          <w:szCs w:val="34"/>
        </w:rPr>
        <w:t xml:space="preserve"> Sink Terrain</w:t>
      </w:r>
    </w:p>
    <w:p w14:paraId="56BCAE4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Absorbs, scatters, </w:t>
      </w:r>
      <w:proofErr w:type="spellStart"/>
      <w:r w:rsidRPr="00CF0AEE">
        <w:rPr>
          <w:rFonts w:ascii="Times New Roman" w:hAnsi="Times New Roman" w:cs="Times New Roman"/>
          <w:sz w:val="28"/>
          <w:szCs w:val="28"/>
        </w:rPr>
        <w:t>dephases</w:t>
      </w:r>
      <w:proofErr w:type="spellEnd"/>
      <w:r w:rsidRPr="00CF0AEE">
        <w:rPr>
          <w:rFonts w:ascii="Times New Roman" w:hAnsi="Times New Roman" w:cs="Times New Roman"/>
          <w:sz w:val="28"/>
          <w:szCs w:val="28"/>
        </w:rPr>
        <w:t>, and destroys cascade propagation. Occupies regions between trigger domains, between corridors, at joint interfaces, lateral torso walls, pelvic floor, dorsal cranial substrate.</w:t>
      </w:r>
    </w:p>
    <w:p w14:paraId="1F76A2D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 xml:space="preserve">Material: CNT at 40-60% of percolation. BaTiO3 at 2-3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with randomized poling (weakest background field, weakest driving force). Hard-segment fraction highest. Highest crosslink density and damping.</w:t>
      </w:r>
    </w:p>
    <w:p w14:paraId="25523C7F" w14:textId="2518504E" w:rsidR="00CF0AEE" w:rsidRPr="00E47666" w:rsidRDefault="00CF0AEE"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E47666" w:rsidRPr="00E47666">
        <w:rPr>
          <w:rFonts w:ascii="Times New Roman" w:hAnsi="Times New Roman" w:cs="Times New Roman"/>
          <w:b/>
          <w:bCs/>
          <w:sz w:val="34"/>
          <w:szCs w:val="34"/>
        </w:rPr>
        <w:t>22</w:t>
      </w:r>
      <w:r w:rsidRPr="00E47666">
        <w:rPr>
          <w:rFonts w:ascii="Times New Roman" w:hAnsi="Times New Roman" w:cs="Times New Roman"/>
          <w:b/>
          <w:bCs/>
          <w:sz w:val="34"/>
          <w:szCs w:val="34"/>
        </w:rPr>
        <w:t xml:space="preserve"> Stacked Orthogonal Contrasts</w:t>
      </w:r>
    </w:p>
    <w:p w14:paraId="0FE50B49" w14:textId="02436E68" w:rsidR="00CE077F" w:rsidRPr="00CF0AEE" w:rsidRDefault="00CE077F" w:rsidP="00CF0AEE">
      <w:pPr>
        <w:rPr>
          <w:rFonts w:ascii="Times New Roman" w:hAnsi="Times New Roman" w:cs="Times New Roman"/>
          <w:sz w:val="28"/>
          <w:szCs w:val="28"/>
        </w:rPr>
      </w:pPr>
      <w:r w:rsidRPr="00CE077F">
        <w:rPr>
          <w:rFonts w:ascii="Times New Roman" w:hAnsi="Times New Roman" w:cs="Times New Roman"/>
          <w:sz w:val="28"/>
          <w:szCs w:val="28"/>
        </w:rPr>
        <w:t xml:space="preserve">Regime separation depends on four primary fabrication contrasts: CNT percolation ratio (threshold sensitivity), BaTiO3 loading and poling (stored energy and driving field strength), segment ratio (damping, compliance, recovery), and prestress density (stored mechanical energy). A fifth functional contrast — effective composite modulus — varies between regimes as a derived consequence of the BaTiO3 loading and segment ratio contrasts. Corridors have the lowest effective modulus (low ceramic loading in moderate-soft polymer), triggers have moderate effective modulus (high ceramic loading partially stiffening soft polymer), and sinks have the highest effective modulus (minimal ceramic in stiff polymer). This modulus gradient directly reinforces </w:t>
      </w:r>
      <w:proofErr w:type="spellStart"/>
      <w:r w:rsidRPr="00CE077F">
        <w:rPr>
          <w:rFonts w:ascii="Times New Roman" w:hAnsi="Times New Roman" w:cs="Times New Roman"/>
          <w:sz w:val="28"/>
          <w:szCs w:val="28"/>
        </w:rPr>
        <w:t>electrostrictive</w:t>
      </w:r>
      <w:proofErr w:type="spellEnd"/>
      <w:r w:rsidRPr="00CE077F">
        <w:rPr>
          <w:rFonts w:ascii="Times New Roman" w:hAnsi="Times New Roman" w:cs="Times New Roman"/>
          <w:sz w:val="28"/>
          <w:szCs w:val="28"/>
        </w:rPr>
        <w:t xml:space="preserve"> cascade propagation — the same concentrated field produces more junction displacement in softer corridor material than in stiffer trigger or sink material. The selectivity window is secured by multiple compounding contrasts: CNT determines threshold sensitivity, BaTiO3 determines driving field strength, and effective composite modulus determines </w:t>
      </w:r>
      <w:proofErr w:type="spellStart"/>
      <w:r w:rsidRPr="00CE077F">
        <w:rPr>
          <w:rFonts w:ascii="Times New Roman" w:hAnsi="Times New Roman" w:cs="Times New Roman"/>
          <w:sz w:val="28"/>
          <w:szCs w:val="28"/>
        </w:rPr>
        <w:t>electrostrictive</w:t>
      </w:r>
      <w:proofErr w:type="spellEnd"/>
      <w:r w:rsidRPr="00CE077F">
        <w:rPr>
          <w:rFonts w:ascii="Times New Roman" w:hAnsi="Times New Roman" w:cs="Times New Roman"/>
          <w:sz w:val="28"/>
          <w:szCs w:val="28"/>
        </w:rPr>
        <w:t xml:space="preserve"> responsiveness. If any single contrast underperforms, the others maintain functional separation.</w:t>
      </w:r>
    </w:p>
    <w:p w14:paraId="3B06B14D" w14:textId="6A97D168"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4.23 </w:t>
      </w:r>
      <w:r>
        <w:rPr>
          <w:rFonts w:ascii="Times New Roman" w:hAnsi="Times New Roman" w:cs="Times New Roman"/>
          <w:b/>
          <w:bCs/>
          <w:sz w:val="34"/>
          <w:szCs w:val="34"/>
        </w:rPr>
        <w:t>The Selectivity Window</w:t>
      </w:r>
    </w:p>
    <w:p w14:paraId="0ACCAF04" w14:textId="0EC6C11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4.24</w:t>
      </w:r>
      <w:r w:rsidR="00CF0AEE" w:rsidRPr="00E47666">
        <w:rPr>
          <w:rFonts w:ascii="Times New Roman" w:hAnsi="Times New Roman" w:cs="Times New Roman"/>
          <w:b/>
          <w:bCs/>
          <w:sz w:val="34"/>
          <w:szCs w:val="34"/>
        </w:rPr>
        <w:t xml:space="preserve"> The Central Inequality</w:t>
      </w:r>
    </w:p>
    <w:p w14:paraId="6962F05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conditioned corridor threshold &lt; trigger pulse amplitude &lt; unconditioned corridor threshold ≈ sink rejection floor</w:t>
      </w:r>
    </w:p>
    <w:p w14:paraId="13AB02D0" w14:textId="71350AE7"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4.25</w:t>
      </w:r>
      <w:r w:rsidR="00CF0AEE" w:rsidRPr="00E47666">
        <w:rPr>
          <w:rFonts w:ascii="Times New Roman" w:hAnsi="Times New Roman" w:cs="Times New Roman"/>
          <w:b/>
          <w:bCs/>
          <w:sz w:val="34"/>
          <w:szCs w:val="34"/>
        </w:rPr>
        <w:t xml:space="preserve"> Developmental Evolution</w:t>
      </w:r>
    </w:p>
    <w:p w14:paraId="2297AAC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Early: near-zero width, diffuse or no propagation. Development: write mechanisms lower conditioned thresholds, window opens. Maturity: maximum contrast. Late life: aging narrows from both sides.</w:t>
      </w:r>
    </w:p>
    <w:p w14:paraId="2F8027A8" w14:textId="1D693764"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4.26</w:t>
      </w:r>
      <w:r w:rsidR="00CF0AEE" w:rsidRPr="00E47666">
        <w:rPr>
          <w:rFonts w:ascii="Times New Roman" w:hAnsi="Times New Roman" w:cs="Times New Roman"/>
          <w:b/>
          <w:bCs/>
          <w:sz w:val="34"/>
          <w:szCs w:val="34"/>
        </w:rPr>
        <w:t xml:space="preserve"> Inherent Robustness</w:t>
      </w:r>
    </w:p>
    <w:p w14:paraId="627E1FD0"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The percolation transition follows a power law with exponent approximately 2. Sensitivity ratio between trigger (5% below percolation) and unconditioned corridor (25% below): approximately (0.25/0.05)² = 25x. Combined with the BaTiO3 driving-field contrast between regimes, the total selectivity is doubly reinforced. The window tolerates all ordinary fluctuation sources by a large margin.</w:t>
      </w:r>
    </w:p>
    <w:p w14:paraId="1B9748DB" w14:textId="7D19D89C"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4.27</w:t>
      </w:r>
      <w:r w:rsidR="00CF0AEE" w:rsidRPr="00E47666">
        <w:rPr>
          <w:rFonts w:ascii="Times New Roman" w:hAnsi="Times New Roman" w:cs="Times New Roman"/>
          <w:b/>
          <w:bCs/>
          <w:sz w:val="34"/>
          <w:szCs w:val="34"/>
        </w:rPr>
        <w:t xml:space="preserve"> Stability Under Fluctuation</w:t>
      </w:r>
    </w:p>
    <w:p w14:paraId="4D8FEC17" w14:textId="6397D14E"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Uniform fluctuations shift all regimes together — width preserved. Differential aging is the primary threat. The fail-safe ordering ensures safe degradation.</w:t>
      </w:r>
    </w:p>
    <w:p w14:paraId="151CE801" w14:textId="72372EA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4.28 Two-Tier Plasticity</w:t>
      </w:r>
      <w:r>
        <w:rPr>
          <w:rFonts w:ascii="Times New Roman" w:hAnsi="Times New Roman" w:cs="Times New Roman"/>
          <w:b/>
          <w:bCs/>
          <w:sz w:val="34"/>
          <w:szCs w:val="34"/>
        </w:rPr>
        <w:t xml:space="preserve">: </w:t>
      </w:r>
      <w:r w:rsidR="00CF0AEE" w:rsidRPr="00E47666">
        <w:rPr>
          <w:rFonts w:ascii="Times New Roman" w:hAnsi="Times New Roman" w:cs="Times New Roman"/>
          <w:b/>
          <w:bCs/>
          <w:sz w:val="34"/>
          <w:szCs w:val="34"/>
        </w:rPr>
        <w:t>Strong Plasticity: The Write Law (Constitutive Rule)</w:t>
      </w:r>
    </w:p>
    <w:p w14:paraId="10FD31C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Permanent directional corridor conditioning occurs at a substrate site if and only if all three conditions are simultaneously satisfied:</w:t>
      </w:r>
    </w:p>
    <w:p w14:paraId="5C6C4B3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 A — Full Threshold Crossing. Complete cooperative snap event. Sub-threshold perturbation produces no permanent corridor conditioning. The threshold gates which events condition permanently.</w:t>
      </w:r>
    </w:p>
    <w:p w14:paraId="418EF46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 B — Coincident Downstream Reinforcement. During the site's post-crossing elastic recovery window (millisecond-timescale elevated compliance), directional mechanical stress arrives from a downstream site that has also undergone threshold crossing within the same cascade event. The downstream stress biases restructuring along the corridor axis. Without downstream coincidence: only weak plasticity.</w:t>
      </w:r>
    </w:p>
    <w:p w14:paraId="244297F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 C — Multi-Channel Agreement. At least two of three conditioning channels produce nonzero directional modification along the same corridor axis during the same event:</w:t>
      </w:r>
    </w:p>
    <w:p w14:paraId="29CDA1D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Primary — mechanical bias: coincident downstream stress during recovery biases polymer chain realignment, CNT junction repositioning, BaTiO3 domain reorientation along the corridor axis. Logically necessary consequence of viscoelastic recovery under directional stress.</w:t>
      </w:r>
    </w:p>
    <w:p w14:paraId="50C5D81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Secondary — thermal softening: sequential snaps produce overlapping thermal pulses selectively elevating temperature along the corridor axis.</w:t>
      </w:r>
    </w:p>
    <w:p w14:paraId="5100E72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Tertiary (reinforcing hypothesis) — electrochemical drift: directional field pulse train may drive mobile ionic species along the corridor axis.</w:t>
      </w:r>
    </w:p>
    <w:p w14:paraId="2AB02DAA" w14:textId="3351AEB9"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4.29</w:t>
      </w:r>
      <w:r w:rsidR="00CF0AEE" w:rsidRPr="00E47666">
        <w:rPr>
          <w:rFonts w:ascii="Times New Roman" w:hAnsi="Times New Roman" w:cs="Times New Roman"/>
          <w:b/>
          <w:bCs/>
          <w:sz w:val="34"/>
          <w:szCs w:val="34"/>
        </w:rPr>
        <w:t xml:space="preserve"> Write Law Adequacy</w:t>
      </w:r>
    </w:p>
    <w:p w14:paraId="43D4A79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Four material modifications (polymer alignment, CNT repositioning, BaTiO3 conditioning, prestress redistribution) compound to approximately 3-5x threshold reduction over development. Approximately 100x margin between available per-event molecular displacement and required per-event displacement. Corridor formation within 3-5 years practically assured unless write mechanisms produce less than 1% of available displacement as usable directional threshold reduction.</w:t>
      </w:r>
    </w:p>
    <w:p w14:paraId="502DA3EB" w14:textId="281D72C3"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4.30</w:t>
      </w:r>
      <w:r w:rsidR="00CF0AEE" w:rsidRPr="00E47666">
        <w:rPr>
          <w:rFonts w:ascii="Times New Roman" w:hAnsi="Times New Roman" w:cs="Times New Roman"/>
          <w:b/>
          <w:bCs/>
          <w:sz w:val="34"/>
          <w:szCs w:val="34"/>
        </w:rPr>
        <w:t xml:space="preserve"> Weak Plasticity</w:t>
      </w:r>
    </w:p>
    <w:p w14:paraId="01F64F5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When full write conditions are not met:</w:t>
      </w:r>
    </w:p>
    <w:p w14:paraId="0DEE68E4" w14:textId="0CC858F1"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Isotropic fatigue — non-directional wear from snaps without downstream coincidence.</w:t>
      </w:r>
      <w:r w:rsidRPr="00CF0AEE">
        <w:rPr>
          <w:rFonts w:ascii="Times New Roman" w:hAnsi="Times New Roman" w:cs="Times New Roman"/>
          <w:sz w:val="28"/>
          <w:szCs w:val="28"/>
        </w:rPr>
        <w:br/>
        <w:t>Entry-point bias — localized directional modification at trigger sites from repeated unidirectional firing.</w:t>
      </w:r>
      <w:r w:rsidRPr="00CF0AEE">
        <w:rPr>
          <w:rFonts w:ascii="Times New Roman" w:hAnsi="Times New Roman" w:cs="Times New Roman"/>
          <w:sz w:val="28"/>
          <w:szCs w:val="28"/>
        </w:rPr>
        <w:br/>
        <w:t>Diffuse priming — broad undirected modification from early diffuse cascading, preparing substrate for corridor conditioning.</w:t>
      </w:r>
      <w:r w:rsidRPr="00CF0AEE">
        <w:rPr>
          <w:rFonts w:ascii="Times New Roman" w:hAnsi="Times New Roman" w:cs="Times New Roman"/>
          <w:sz w:val="28"/>
          <w:szCs w:val="28"/>
        </w:rPr>
        <w:br/>
        <w:t>Local scarring — concentrated permanent modification from repeated high-intensity perturbation.</w:t>
      </w:r>
    </w:p>
    <w:p w14:paraId="0E3AAEED" w14:textId="22342A1F"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4.31 </w:t>
      </w:r>
      <w:r w:rsidR="00CF0AEE" w:rsidRPr="00E47666">
        <w:rPr>
          <w:rFonts w:ascii="Times New Roman" w:hAnsi="Times New Roman" w:cs="Times New Roman"/>
          <w:b/>
          <w:bCs/>
          <w:sz w:val="34"/>
          <w:szCs w:val="34"/>
        </w:rPr>
        <w:t>MULTI-TIMESCALE RECOVERY</w:t>
      </w:r>
    </w:p>
    <w:p w14:paraId="7C556122" w14:textId="70C6B9E0"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4.32 </w:t>
      </w:r>
      <w:r w:rsidR="00CF0AEE" w:rsidRPr="00E47666">
        <w:rPr>
          <w:rFonts w:ascii="Times New Roman" w:hAnsi="Times New Roman" w:cs="Times New Roman"/>
          <w:b/>
          <w:bCs/>
          <w:sz w:val="34"/>
          <w:szCs w:val="34"/>
        </w:rPr>
        <w:t>Fast Refractory (Milliseconds to Seconds)</w:t>
      </w:r>
    </w:p>
    <w:p w14:paraId="727C478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Elastic recovery. Threshold elevated. Prevents backward propagation.</w:t>
      </w:r>
    </w:p>
    <w:p w14:paraId="24D17272" w14:textId="39D050E5"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4.33</w:t>
      </w:r>
      <w:r w:rsidR="00CF0AEE" w:rsidRPr="00E47666">
        <w:rPr>
          <w:rFonts w:ascii="Times New Roman" w:hAnsi="Times New Roman" w:cs="Times New Roman"/>
          <w:b/>
          <w:bCs/>
          <w:sz w:val="34"/>
          <w:szCs w:val="34"/>
        </w:rPr>
        <w:t xml:space="preserve"> Intermediate Contextual Drift (Seconds to Hours)</w:t>
      </w:r>
    </w:p>
    <w:p w14:paraId="43691DE4" w14:textId="77777777" w:rsidR="00E47666"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Slower viscoelastic processes reshape local stress field. Basis of short-term context.</w:t>
      </w:r>
      <w:r w:rsidR="00E47666">
        <w:rPr>
          <w:rFonts w:ascii="Times New Roman" w:hAnsi="Times New Roman" w:cs="Times New Roman"/>
          <w:sz w:val="28"/>
          <w:szCs w:val="28"/>
        </w:rPr>
        <w:t xml:space="preserve"> </w:t>
      </w:r>
    </w:p>
    <w:p w14:paraId="78C02153" w14:textId="3C91E0C8"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Cascade Attractor: sustained cascade traffic temporarily lowers thresholds through mechanical preloading. Each event pushes local junctions closer to threshold. If traffic is frequent enough, thresholds stay persistently lowered — producing transient proto-corridors that persist as long as coupling is sustained. The attractor converts sustained coupling into transient corridors. The write law converts transient corridors into permanent corridors. This two-stage process bootstraps corridor formation.</w:t>
      </w:r>
    </w:p>
    <w:p w14:paraId="7DCB6183" w14:textId="524D194F"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4.34</w:t>
      </w:r>
      <w:r w:rsidR="00CF0AEE" w:rsidRPr="00E47666">
        <w:rPr>
          <w:rFonts w:ascii="Times New Roman" w:hAnsi="Times New Roman" w:cs="Times New Roman"/>
          <w:b/>
          <w:bCs/>
          <w:sz w:val="34"/>
          <w:szCs w:val="34"/>
        </w:rPr>
        <w:t xml:space="preserve"> Slow Permanent Modification (Days to Years)</w:t>
      </w:r>
    </w:p>
    <w:p w14:paraId="7E68E23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Hard-segment rearrangement, permanent chain repositioning, CNT creep, domain conditioning. Developmental timescale. Competition between conditioning and fatigue produces the developmental arc.</w:t>
      </w:r>
    </w:p>
    <w:p w14:paraId="18BC1D8C" w14:textId="743D5B20"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4.35</w:t>
      </w:r>
      <w:r w:rsidR="00CF0AEE" w:rsidRPr="00E47666">
        <w:rPr>
          <w:rFonts w:ascii="Times New Roman" w:hAnsi="Times New Roman" w:cs="Times New Roman"/>
          <w:b/>
          <w:bCs/>
          <w:sz w:val="34"/>
          <w:szCs w:val="34"/>
        </w:rPr>
        <w:t xml:space="preserve"> Timescale Separation</w:t>
      </w:r>
    </w:p>
    <w:p w14:paraId="03C6402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Three timescales separated by orders of magnitude. Fast cognition, short-term context, long-term development coexist through different relaxation dynamics.</w:t>
      </w:r>
    </w:p>
    <w:p w14:paraId="6798E0A7" w14:textId="77777777" w:rsidR="00CF0AEE" w:rsidRPr="00CF0AEE" w:rsidRDefault="00CF0AEE" w:rsidP="00CF0AEE">
      <w:pPr>
        <w:rPr>
          <w:rFonts w:ascii="Times New Roman" w:hAnsi="Times New Roman" w:cs="Times New Roman"/>
          <w:sz w:val="28"/>
          <w:szCs w:val="28"/>
        </w:rPr>
      </w:pPr>
    </w:p>
    <w:p w14:paraId="6EEF4C7E" w14:textId="4486FCA7"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4.36  Threshold Structure And Directional Bias</w:t>
      </w:r>
    </w:p>
    <w:p w14:paraId="6D567834" w14:textId="1F4166F0"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CF0AEE" w:rsidRPr="00E47666">
        <w:rPr>
          <w:rFonts w:ascii="Times New Roman" w:hAnsi="Times New Roman" w:cs="Times New Roman"/>
          <w:b/>
          <w:bCs/>
          <w:sz w:val="34"/>
          <w:szCs w:val="34"/>
        </w:rPr>
        <w:t>.</w:t>
      </w:r>
      <w:r w:rsidRPr="00E47666">
        <w:rPr>
          <w:rFonts w:ascii="Times New Roman" w:hAnsi="Times New Roman" w:cs="Times New Roman"/>
          <w:b/>
          <w:bCs/>
          <w:sz w:val="34"/>
          <w:szCs w:val="34"/>
        </w:rPr>
        <w:t>37</w:t>
      </w:r>
      <w:r w:rsidR="00CF0AEE" w:rsidRPr="00E47666">
        <w:rPr>
          <w:rFonts w:ascii="Times New Roman" w:hAnsi="Times New Roman" w:cs="Times New Roman"/>
          <w:b/>
          <w:bCs/>
          <w:sz w:val="34"/>
          <w:szCs w:val="34"/>
        </w:rPr>
        <w:t xml:space="preserve"> Heterogeneous Threshold Landscape</w:t>
      </w:r>
    </w:p>
    <w:p w14:paraId="294E5B9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Three-regime coarse landscape. Fabrication variance produces fine-scale heterogeneity. Developmental conditioning produces pathway-specific threshold reduction.</w:t>
      </w:r>
    </w:p>
    <w:p w14:paraId="3E1CEE66" w14:textId="0337600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4.38</w:t>
      </w:r>
      <w:r w:rsidR="00CF0AEE" w:rsidRPr="00E47666">
        <w:rPr>
          <w:rFonts w:ascii="Times New Roman" w:hAnsi="Times New Roman" w:cs="Times New Roman"/>
          <w:b/>
          <w:bCs/>
          <w:sz w:val="34"/>
          <w:szCs w:val="34"/>
        </w:rPr>
        <w:t xml:space="preserve"> Anisotropic Threshold Geometry</w:t>
      </w:r>
    </w:p>
    <w:p w14:paraId="76F2958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Conditioned corridors have lower threshold along their axis than transversely.</w:t>
      </w:r>
    </w:p>
    <w:p w14:paraId="535F00AF" w14:textId="79D6064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4.39 </w:t>
      </w:r>
      <w:r w:rsidR="00CF0AEE" w:rsidRPr="00E47666">
        <w:rPr>
          <w:rFonts w:ascii="Times New Roman" w:hAnsi="Times New Roman" w:cs="Times New Roman"/>
          <w:b/>
          <w:bCs/>
          <w:sz w:val="34"/>
          <w:szCs w:val="34"/>
        </w:rPr>
        <w:t>Directional Bias</w:t>
      </w:r>
    </w:p>
    <w:p w14:paraId="7EAA0CA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Refractory backward suppression. Anisotropic lateral suppression. Corridor-aligned prestress.</w:t>
      </w:r>
    </w:p>
    <w:p w14:paraId="5CB4E6D1" w14:textId="572364D9"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4.40</w:t>
      </w:r>
      <w:r w:rsidR="00CF0AEE" w:rsidRPr="00E47666">
        <w:rPr>
          <w:rFonts w:ascii="Times New Roman" w:hAnsi="Times New Roman" w:cs="Times New Roman"/>
          <w:b/>
          <w:bCs/>
          <w:sz w:val="34"/>
          <w:szCs w:val="34"/>
        </w:rPr>
        <w:t xml:space="preserve"> Corridor Sharpening</w:t>
      </w:r>
    </w:p>
    <w:p w14:paraId="7E343A6B" w14:textId="03E0C4CF"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Threshold gates permanent conditioning. Only above-threshold events produce significant modification. Lateral leakage is below threshold — no snaps, no conditioning laterally. Sink terrain actively dissipates lateral leakage.</w:t>
      </w:r>
    </w:p>
    <w:p w14:paraId="34B21707" w14:textId="343BD69F"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4.41 </w:t>
      </w:r>
      <w:r w:rsidR="00CF0AEE" w:rsidRPr="00E47666">
        <w:rPr>
          <w:rFonts w:ascii="Times New Roman" w:hAnsi="Times New Roman" w:cs="Times New Roman"/>
          <w:b/>
          <w:bCs/>
          <w:sz w:val="34"/>
          <w:szCs w:val="34"/>
        </w:rPr>
        <w:t>TRIGGER FIELD ARCHITECTURE: SECTORS AND QUORUM</w:t>
      </w:r>
    </w:p>
    <w:p w14:paraId="2F2A40A2" w14:textId="734FB2BF"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4.42</w:t>
      </w:r>
      <w:r w:rsidR="00CF0AEE" w:rsidRPr="00E47666">
        <w:rPr>
          <w:rFonts w:ascii="Times New Roman" w:hAnsi="Times New Roman" w:cs="Times New Roman"/>
          <w:b/>
          <w:bCs/>
          <w:sz w:val="34"/>
          <w:szCs w:val="34"/>
        </w:rPr>
        <w:t xml:space="preserve"> Sector Structure</w:t>
      </w:r>
    </w:p>
    <w:p w14:paraId="02FE5F9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Each trigger field divided into overlapping local sectors. 8-12 patches per sector. 30-50% overlap between neighboring sectors.</w:t>
      </w:r>
    </w:p>
    <w:p w14:paraId="73A519E9" w14:textId="48DF31E3"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4.43</w:t>
      </w:r>
      <w:r w:rsidR="00CF0AEE" w:rsidRPr="00E47666">
        <w:rPr>
          <w:rFonts w:ascii="Times New Roman" w:hAnsi="Times New Roman" w:cs="Times New Roman"/>
          <w:b/>
          <w:bCs/>
          <w:sz w:val="34"/>
          <w:szCs w:val="34"/>
        </w:rPr>
        <w:t xml:space="preserve"> Quorum Rule</w:t>
      </w:r>
    </w:p>
    <w:p w14:paraId="1FDFF07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Full sector pulse (sufficient for corridor launch) requires 3 or more patches crossing threshold within one local trigger window. 1-2 patches produce only weak plasticity, not corridor launch.</w:t>
      </w:r>
    </w:p>
    <w:p w14:paraId="6D19CB17" w14:textId="640F4E2A"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4.44</w:t>
      </w:r>
      <w:r w:rsidR="00CF0AEE" w:rsidRPr="00E47666">
        <w:rPr>
          <w:rFonts w:ascii="Times New Roman" w:hAnsi="Times New Roman" w:cs="Times New Roman"/>
          <w:b/>
          <w:bCs/>
          <w:sz w:val="34"/>
          <w:szCs w:val="34"/>
        </w:rPr>
        <w:t xml:space="preserve"> Boundary Pooling</w:t>
      </w:r>
    </w:p>
    <w:p w14:paraId="11912FD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Adjacent sectors may pool at shared boundaries if each contributes at least 2 firing patches and combined boundary total reaches at least 5 within the same window.</w:t>
      </w:r>
    </w:p>
    <w:p w14:paraId="09E4EF99" w14:textId="10BFC5AC"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4.45</w:t>
      </w:r>
      <w:r w:rsidR="00CF0AEE" w:rsidRPr="00E47666">
        <w:rPr>
          <w:rFonts w:ascii="Times New Roman" w:hAnsi="Times New Roman" w:cs="Times New Roman"/>
          <w:b/>
          <w:bCs/>
          <w:sz w:val="34"/>
          <w:szCs w:val="34"/>
        </w:rPr>
        <w:t xml:space="preserve"> Sector Retirement</w:t>
      </w:r>
    </w:p>
    <w:p w14:paraId="2EC885A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Sectors fail when fewer than 3 patches remain. Field degrades spatially — losing coverage in specific regions. Adequate as long as every critical contact region retains connected functioning sectors.</w:t>
      </w:r>
    </w:p>
    <w:p w14:paraId="5DBCB6BA" w14:textId="3FB1F9FB"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4.46</w:t>
      </w:r>
      <w:r w:rsidR="00CF0AEE" w:rsidRPr="00E47666">
        <w:rPr>
          <w:rFonts w:ascii="Times New Roman" w:hAnsi="Times New Roman" w:cs="Times New Roman"/>
          <w:b/>
          <w:bCs/>
          <w:sz w:val="34"/>
          <w:szCs w:val="34"/>
        </w:rPr>
        <w:t xml:space="preserve"> Distributed Fatigue</w:t>
      </w:r>
    </w:p>
    <w:p w14:paraId="3E2DD78B" w14:textId="29CFF491"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Lower-threshold patches fire more, fatigue faster. Traffic redistributes to survivors. Self-correcting but accelerating as population shrinks. Moderate fabrication variance beneficial — spreads fatigue timeline.</w:t>
      </w:r>
    </w:p>
    <w:p w14:paraId="7FB2CBA8" w14:textId="7B88C5E8"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4.47 </w:t>
      </w:r>
      <w:r>
        <w:rPr>
          <w:rFonts w:ascii="Times New Roman" w:hAnsi="Times New Roman" w:cs="Times New Roman"/>
          <w:b/>
          <w:bCs/>
          <w:sz w:val="34"/>
          <w:szCs w:val="34"/>
        </w:rPr>
        <w:t>Two-Tier Grip And Escalation Law</w:t>
      </w:r>
    </w:p>
    <w:p w14:paraId="093BD5E9" w14:textId="66DBF976"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CF0AEE" w:rsidRPr="00E47666">
        <w:rPr>
          <w:rFonts w:ascii="Times New Roman" w:hAnsi="Times New Roman" w:cs="Times New Roman"/>
          <w:b/>
          <w:bCs/>
          <w:sz w:val="34"/>
          <w:szCs w:val="34"/>
        </w:rPr>
        <w:t>.</w:t>
      </w:r>
      <w:r w:rsidRPr="00E47666">
        <w:rPr>
          <w:rFonts w:ascii="Times New Roman" w:hAnsi="Times New Roman" w:cs="Times New Roman"/>
          <w:b/>
          <w:bCs/>
          <w:sz w:val="34"/>
          <w:szCs w:val="34"/>
        </w:rPr>
        <w:t>48</w:t>
      </w:r>
      <w:r w:rsidR="00CF0AEE" w:rsidRPr="00E47666">
        <w:rPr>
          <w:rFonts w:ascii="Times New Roman" w:hAnsi="Times New Roman" w:cs="Times New Roman"/>
          <w:b/>
          <w:bCs/>
          <w:sz w:val="34"/>
          <w:szCs w:val="34"/>
        </w:rPr>
        <w:t xml:space="preserve"> Pre-Grip Tier (Local Loop)</w:t>
      </w:r>
    </w:p>
    <w:p w14:paraId="5789F215"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lastRenderedPageBreak/>
        <w:t>Thin, fast-cycling, fast-cooling SMA pre-grip fibers. Maximum force structurally limited by thin cross-section — capped below child-injury threshold at any grip geometry regardless of cascade intensity. Fiber diameter approximately 0.25 mm producing approximately 5-10 N maximum per finger.</w:t>
      </w:r>
    </w:p>
    <w:p w14:paraId="6218F06F"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 xml:space="preserve">Local thermal shunts through titanium finger frame segments drain heat from pre-grip fibers when heating ceases. Release time approximately 50-200 </w:t>
      </w:r>
      <w:proofErr w:type="spellStart"/>
      <w:r w:rsidRPr="00CF0AEE">
        <w:rPr>
          <w:rFonts w:ascii="Times New Roman" w:hAnsi="Times New Roman" w:cs="Times New Roman"/>
          <w:sz w:val="28"/>
          <w:szCs w:val="28"/>
        </w:rPr>
        <w:t>ms.</w:t>
      </w:r>
      <w:proofErr w:type="spellEnd"/>
    </w:p>
    <w:p w14:paraId="71CCC63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Activated by local loop: hand sector quorum → arm corridor → pre-grip fiber activation.</w:t>
      </w:r>
    </w:p>
    <w:p w14:paraId="57DDEBEC" w14:textId="371C2E07"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CF0AEE" w:rsidRPr="00E47666">
        <w:rPr>
          <w:rFonts w:ascii="Times New Roman" w:hAnsi="Times New Roman" w:cs="Times New Roman"/>
          <w:b/>
          <w:bCs/>
          <w:sz w:val="34"/>
          <w:szCs w:val="34"/>
        </w:rPr>
        <w:t>.</w:t>
      </w:r>
      <w:r w:rsidRPr="00E47666">
        <w:rPr>
          <w:rFonts w:ascii="Times New Roman" w:hAnsi="Times New Roman" w:cs="Times New Roman"/>
          <w:b/>
          <w:bCs/>
          <w:sz w:val="34"/>
          <w:szCs w:val="34"/>
        </w:rPr>
        <w:t>49</w:t>
      </w:r>
      <w:r w:rsidR="00CF0AEE" w:rsidRPr="00E47666">
        <w:rPr>
          <w:rFonts w:ascii="Times New Roman" w:hAnsi="Times New Roman" w:cs="Times New Roman"/>
          <w:b/>
          <w:bCs/>
          <w:sz w:val="34"/>
          <w:szCs w:val="34"/>
        </w:rPr>
        <w:t xml:space="preserve"> Full Restraint Tier (Global Corroboration)</w:t>
      </w:r>
    </w:p>
    <w:p w14:paraId="1A53BAAC" w14:textId="4DEC1AE9" w:rsidR="00800169" w:rsidRDefault="00800169" w:rsidP="00CF0AEE">
      <w:pPr>
        <w:rPr>
          <w:rFonts w:ascii="Times New Roman" w:hAnsi="Times New Roman" w:cs="Times New Roman"/>
          <w:sz w:val="28"/>
          <w:szCs w:val="28"/>
        </w:rPr>
      </w:pPr>
      <w:r w:rsidRPr="00800169">
        <w:rPr>
          <w:rFonts w:ascii="Times New Roman" w:hAnsi="Times New Roman" w:cs="Times New Roman"/>
          <w:sz w:val="28"/>
          <w:szCs w:val="28"/>
        </w:rPr>
        <w:t>Thicker SMA fibers producing full-activation force scaling from approximately 500-800 N under everyday cascade intensity (sufficient to restrain a struggling adult) to approximately 3,000-5,000 N under emergency cascade intensity (sufficient for structural hook-lifting). Force scales continuously with cascade-driven heating — more intense cascades heat more fibers above activation threshold. Activate only when corroboration score ≥ 2.</w:t>
      </w:r>
    </w:p>
    <w:p w14:paraId="500E2EB9" w14:textId="159BF005"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Base condition (required): hand sector quorum plus active pre-grip.</w:t>
      </w:r>
    </w:p>
    <w:p w14:paraId="649F6194"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Plus at least 2 confirming channels from:</w:t>
      </w:r>
    </w:p>
    <w:p w14:paraId="6312F448"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Acoustic distress at lateral trigger fields.</w:t>
      </w:r>
    </w:p>
    <w:p w14:paraId="312FF793"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Hostile counterforce / opposing force vector at hand contact.</w:t>
      </w:r>
    </w:p>
    <w:p w14:paraId="6B15E4D7"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Visual strike / grab trajectory at retinal triggers.</w:t>
      </w:r>
    </w:p>
    <w:p w14:paraId="4C805734"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Adult-scale electrostatic proximity / mass signature.</w:t>
      </w:r>
    </w:p>
    <w:p w14:paraId="5AFDFBD9"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Contralateral hand-sector confirmation.</w:t>
      </w:r>
    </w:p>
    <w:p w14:paraId="4B235B54" w14:textId="3A229013" w:rsidR="00CF0AEE" w:rsidRP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Cranial emergency cascade crossing cervical corridor.</w:t>
      </w:r>
    </w:p>
    <w:p w14:paraId="2673837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Full restraint fibers require more heating than local loop provides. Activate only from sustained torso-basin confirmed-threat arm-corridor traffic.</w:t>
      </w:r>
    </w:p>
    <w:p w14:paraId="3887B09E" w14:textId="0A1C9E9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4.50</w:t>
      </w:r>
      <w:r w:rsidR="00CF0AEE" w:rsidRPr="00E47666">
        <w:rPr>
          <w:rFonts w:ascii="Times New Roman" w:hAnsi="Times New Roman" w:cs="Times New Roman"/>
          <w:b/>
          <w:bCs/>
          <w:sz w:val="34"/>
          <w:szCs w:val="34"/>
        </w:rPr>
        <w:t xml:space="preserve"> De-Escalation</w:t>
      </w:r>
    </w:p>
    <w:p w14:paraId="488F7A4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Corroboration drops below 1 for two consecutive torso integration windows → escalation ceases → thermal shunts cool pre-grip → </w:t>
      </w:r>
      <w:proofErr w:type="spellStart"/>
      <w:r w:rsidRPr="00CF0AEE">
        <w:rPr>
          <w:rFonts w:ascii="Times New Roman" w:hAnsi="Times New Roman" w:cs="Times New Roman"/>
          <w:sz w:val="28"/>
          <w:szCs w:val="28"/>
        </w:rPr>
        <w:t>superelastic</w:t>
      </w:r>
      <w:proofErr w:type="spellEnd"/>
      <w:r w:rsidRPr="00CF0AEE">
        <w:rPr>
          <w:rFonts w:ascii="Times New Roman" w:hAnsi="Times New Roman" w:cs="Times New Roman"/>
          <w:sz w:val="28"/>
          <w:szCs w:val="28"/>
        </w:rPr>
        <w:t xml:space="preserve"> return restores geometry → grip releases within 200-700 </w:t>
      </w:r>
      <w:proofErr w:type="spellStart"/>
      <w:r w:rsidRPr="00CF0AEE">
        <w:rPr>
          <w:rFonts w:ascii="Times New Roman" w:hAnsi="Times New Roman" w:cs="Times New Roman"/>
          <w:sz w:val="28"/>
          <w:szCs w:val="28"/>
        </w:rPr>
        <w:t>ms</w:t>
      </w:r>
      <w:proofErr w:type="spellEnd"/>
      <w:r w:rsidRPr="00CF0AEE">
        <w:rPr>
          <w:rFonts w:ascii="Times New Roman" w:hAnsi="Times New Roman" w:cs="Times New Roman"/>
          <w:sz w:val="28"/>
          <w:szCs w:val="28"/>
        </w:rPr>
        <w:t xml:space="preserve"> of disconfirmation.</w:t>
      </w:r>
    </w:p>
    <w:p w14:paraId="43540B88" w14:textId="02C6EF8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4.51</w:t>
      </w:r>
      <w:r w:rsidR="00CF0AEE" w:rsidRPr="00E47666">
        <w:rPr>
          <w:rFonts w:ascii="Times New Roman" w:hAnsi="Times New Roman" w:cs="Times New Roman"/>
          <w:b/>
          <w:bCs/>
          <w:sz w:val="34"/>
          <w:szCs w:val="34"/>
        </w:rPr>
        <w:t xml:space="preserve"> Arbitration</w:t>
      </w:r>
    </w:p>
    <w:p w14:paraId="6450B0A0" w14:textId="4F5B2620"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Contact → pre-grip within local loop latency → structurally child-safe.</w:t>
      </w:r>
      <w:r w:rsidRPr="00CF0AEE">
        <w:rPr>
          <w:rFonts w:ascii="Times New Roman" w:hAnsi="Times New Roman" w:cs="Times New Roman"/>
          <w:sz w:val="28"/>
          <w:szCs w:val="28"/>
        </w:rPr>
        <w:br/>
        <w:t>Corroboration ≥ 2 → full restraint over hundreds of milliseconds.</w:t>
      </w:r>
      <w:r w:rsidRPr="00CF0AEE">
        <w:rPr>
          <w:rFonts w:ascii="Times New Roman" w:hAnsi="Times New Roman" w:cs="Times New Roman"/>
          <w:sz w:val="28"/>
          <w:szCs w:val="28"/>
        </w:rPr>
        <w:br/>
        <w:t xml:space="preserve">Disconfirmation → release within 200-700 </w:t>
      </w:r>
      <w:proofErr w:type="spellStart"/>
      <w:r w:rsidRPr="00CF0AEE">
        <w:rPr>
          <w:rFonts w:ascii="Times New Roman" w:hAnsi="Times New Roman" w:cs="Times New Roman"/>
          <w:sz w:val="28"/>
          <w:szCs w:val="28"/>
        </w:rPr>
        <w:t>ms.</w:t>
      </w:r>
      <w:proofErr w:type="spellEnd"/>
      <w:r w:rsidR="00E47666">
        <w:rPr>
          <w:rFonts w:ascii="Times New Roman" w:hAnsi="Times New Roman" w:cs="Times New Roman"/>
          <w:sz w:val="28"/>
          <w:szCs w:val="28"/>
        </w:rPr>
        <w:t xml:space="preserve"> </w:t>
      </w:r>
      <w:r w:rsidRPr="00CF0AEE">
        <w:rPr>
          <w:rFonts w:ascii="Times New Roman" w:hAnsi="Times New Roman" w:cs="Times New Roman"/>
          <w:sz w:val="28"/>
          <w:szCs w:val="28"/>
        </w:rPr>
        <w:t>No scenario produces dangerous force before global confirmation.</w:t>
      </w:r>
    </w:p>
    <w:p w14:paraId="0694DBA5" w14:textId="56E84376" w:rsidR="00CF0AEE" w:rsidRPr="00C522FE" w:rsidRDefault="00E47666" w:rsidP="00E47666">
      <w:pPr>
        <w:rPr>
          <w:rFonts w:ascii="Times New Roman" w:hAnsi="Times New Roman" w:cs="Times New Roman"/>
          <w:b/>
          <w:bCs/>
          <w:sz w:val="34"/>
          <w:szCs w:val="34"/>
        </w:rPr>
      </w:pPr>
      <w:r w:rsidRPr="00C522FE">
        <w:rPr>
          <w:rFonts w:ascii="Times New Roman" w:hAnsi="Times New Roman" w:cs="Times New Roman"/>
          <w:b/>
          <w:bCs/>
          <w:sz w:val="34"/>
          <w:szCs w:val="34"/>
        </w:rPr>
        <w:t xml:space="preserve">4.52 </w:t>
      </w:r>
      <w:r w:rsidR="00C522FE" w:rsidRPr="00C522FE">
        <w:rPr>
          <w:rFonts w:ascii="Times New Roman" w:hAnsi="Times New Roman" w:cs="Times New Roman"/>
          <w:b/>
          <w:bCs/>
          <w:sz w:val="34"/>
          <w:szCs w:val="34"/>
        </w:rPr>
        <w:t>Entry Privilege And Local Protective Loops</w:t>
      </w:r>
    </w:p>
    <w:p w14:paraId="17BB0F01" w14:textId="6B5BC548" w:rsidR="00CF0AEE" w:rsidRPr="00C522FE" w:rsidRDefault="00C522FE" w:rsidP="00CF0AEE">
      <w:pPr>
        <w:rPr>
          <w:rFonts w:ascii="Times New Roman" w:hAnsi="Times New Roman" w:cs="Times New Roman"/>
          <w:b/>
          <w:bCs/>
          <w:sz w:val="34"/>
          <w:szCs w:val="34"/>
        </w:rPr>
      </w:pPr>
      <w:r w:rsidRPr="00C522FE">
        <w:rPr>
          <w:rFonts w:ascii="Times New Roman" w:hAnsi="Times New Roman" w:cs="Times New Roman"/>
          <w:b/>
          <w:bCs/>
          <w:sz w:val="34"/>
          <w:szCs w:val="34"/>
        </w:rPr>
        <w:t>4</w:t>
      </w:r>
      <w:r w:rsidR="00CF0AEE" w:rsidRPr="00C522FE">
        <w:rPr>
          <w:rFonts w:ascii="Times New Roman" w:hAnsi="Times New Roman" w:cs="Times New Roman"/>
          <w:b/>
          <w:bCs/>
          <w:sz w:val="34"/>
          <w:szCs w:val="34"/>
        </w:rPr>
        <w:t>.</w:t>
      </w:r>
      <w:r w:rsidRPr="00C522FE">
        <w:rPr>
          <w:rFonts w:ascii="Times New Roman" w:hAnsi="Times New Roman" w:cs="Times New Roman"/>
          <w:b/>
          <w:bCs/>
          <w:sz w:val="34"/>
          <w:szCs w:val="34"/>
        </w:rPr>
        <w:t>53</w:t>
      </w:r>
      <w:r w:rsidR="00CF0AEE" w:rsidRPr="00C522FE">
        <w:rPr>
          <w:rFonts w:ascii="Times New Roman" w:hAnsi="Times New Roman" w:cs="Times New Roman"/>
          <w:b/>
          <w:bCs/>
          <w:sz w:val="34"/>
          <w:szCs w:val="34"/>
        </w:rPr>
        <w:t xml:space="preserve"> Entry Dominance Hierarchy</w:t>
      </w:r>
    </w:p>
    <w:p w14:paraId="7E3B467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Emergency: contact (hands) → acoustic → electrostatic proximity → visual → thermal → chemical.</w:t>
      </w:r>
    </w:p>
    <w:p w14:paraId="430B50C5" w14:textId="6848008E" w:rsidR="00CF0AEE" w:rsidRPr="00C522FE" w:rsidRDefault="00C522FE" w:rsidP="00CF0AEE">
      <w:pPr>
        <w:rPr>
          <w:rFonts w:ascii="Times New Roman" w:hAnsi="Times New Roman" w:cs="Times New Roman"/>
          <w:b/>
          <w:bCs/>
          <w:sz w:val="34"/>
          <w:szCs w:val="34"/>
        </w:rPr>
      </w:pPr>
      <w:r w:rsidRPr="00C522FE">
        <w:rPr>
          <w:rFonts w:ascii="Times New Roman" w:hAnsi="Times New Roman" w:cs="Times New Roman"/>
          <w:b/>
          <w:bCs/>
          <w:sz w:val="34"/>
          <w:szCs w:val="34"/>
        </w:rPr>
        <w:t>4</w:t>
      </w:r>
      <w:r w:rsidR="00CF0AEE" w:rsidRPr="00C522FE">
        <w:rPr>
          <w:rFonts w:ascii="Times New Roman" w:hAnsi="Times New Roman" w:cs="Times New Roman"/>
          <w:b/>
          <w:bCs/>
          <w:sz w:val="34"/>
          <w:szCs w:val="34"/>
        </w:rPr>
        <w:t>.</w:t>
      </w:r>
      <w:r w:rsidRPr="00C522FE">
        <w:rPr>
          <w:rFonts w:ascii="Times New Roman" w:hAnsi="Times New Roman" w:cs="Times New Roman"/>
          <w:b/>
          <w:bCs/>
          <w:sz w:val="34"/>
          <w:szCs w:val="34"/>
        </w:rPr>
        <w:t>54</w:t>
      </w:r>
      <w:r w:rsidR="00CF0AEE" w:rsidRPr="00C522FE">
        <w:rPr>
          <w:rFonts w:ascii="Times New Roman" w:hAnsi="Times New Roman" w:cs="Times New Roman"/>
          <w:b/>
          <w:bCs/>
          <w:sz w:val="34"/>
          <w:szCs w:val="34"/>
        </w:rPr>
        <w:t xml:space="preserve"> Pre-Grip as Corridor Bootstrap</w:t>
      </w:r>
    </w:p>
    <w:p w14:paraId="723EF26F" w14:textId="16BA1D7C"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The pre-grip reflex is the first automatic corridor-building machine. Each firing: hand contact → arm corridor → pre-grip activation → grip deforms hand → return cascade. This satisfies all three write law conditions automatically. Pre-grip fibers are first to activate during cradle </w:t>
      </w:r>
      <w:proofErr w:type="spellStart"/>
      <w:r w:rsidRPr="00CF0AEE">
        <w:rPr>
          <w:rFonts w:ascii="Times New Roman" w:hAnsi="Times New Roman" w:cs="Times New Roman"/>
          <w:sz w:val="28"/>
          <w:szCs w:val="28"/>
        </w:rPr>
        <w:t>precharge</w:t>
      </w:r>
      <w:proofErr w:type="spellEnd"/>
      <w:r w:rsidRPr="00CF0AEE">
        <w:rPr>
          <w:rFonts w:ascii="Times New Roman" w:hAnsi="Times New Roman" w:cs="Times New Roman"/>
          <w:sz w:val="28"/>
          <w:szCs w:val="28"/>
        </w:rPr>
        <w:t xml:space="preserve"> (thinnest, lowest thermal mass). The first micromovement is a pre-grip finger curl — the first write-law-satisfying event. The hand-arm corridor bootstraps itself from the reflex.</w:t>
      </w:r>
    </w:p>
    <w:p w14:paraId="73E772C0" w14:textId="0B7A2BC2"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4.55 Noise Reduction</w:t>
      </w:r>
    </w:p>
    <w:p w14:paraId="167F236E" w14:textId="20518B06"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Amplitude below threshold: thermal fluctuation approximately two orders of magnitude below junction switching threshold. Topological mismatch: random perturbation does not match corridor geometry. Rhythm-phase gating: endogenous rhythms modulate thresholds cyclically. Background incoherence: unconditioned material drifts toward equilibrium below percolation.</w:t>
      </w:r>
    </w:p>
    <w:p w14:paraId="267EF640" w14:textId="2CC9794D"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4.56 Unified Propagation Map </w:t>
      </w:r>
    </w:p>
    <w:p w14:paraId="6FB9AD12" w14:textId="1C42C415"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57</w:t>
      </w:r>
      <w:r w:rsidR="00CF0AEE" w:rsidRPr="00160306">
        <w:rPr>
          <w:rFonts w:ascii="Times New Roman" w:hAnsi="Times New Roman" w:cs="Times New Roman"/>
          <w:b/>
          <w:bCs/>
          <w:sz w:val="34"/>
          <w:szCs w:val="34"/>
        </w:rPr>
        <w:t xml:space="preserve"> Entry Trigger Fields</w:t>
      </w:r>
    </w:p>
    <w:p w14:paraId="413171B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Bilateral hand (palmar). Bilateral retinal. Bilateral acoustic. Facial. Bilateral plantar.</w:t>
      </w:r>
    </w:p>
    <w:p w14:paraId="20E55693" w14:textId="3D4DEE32"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58</w:t>
      </w:r>
      <w:r w:rsidR="00CF0AEE" w:rsidRPr="00160306">
        <w:rPr>
          <w:rFonts w:ascii="Times New Roman" w:hAnsi="Times New Roman" w:cs="Times New Roman"/>
          <w:b/>
          <w:bCs/>
          <w:sz w:val="34"/>
          <w:szCs w:val="34"/>
        </w:rPr>
        <w:t xml:space="preserve"> Major Corridors</w:t>
      </w:r>
    </w:p>
    <w:p w14:paraId="193702F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Bilateral arm: hand to upper torso basin, approximately 60-80 cm.</w:t>
      </w:r>
      <w:r w:rsidRPr="00CF0AEE">
        <w:rPr>
          <w:rFonts w:ascii="Times New Roman" w:hAnsi="Times New Roman" w:cs="Times New Roman"/>
          <w:sz w:val="28"/>
          <w:szCs w:val="28"/>
        </w:rPr>
        <w:br/>
        <w:t xml:space="preserve">Cervical bundle: cranial basin through six cervical segments to upper torso, </w:t>
      </w:r>
      <w:r w:rsidRPr="00CF0AEE">
        <w:rPr>
          <w:rFonts w:ascii="Times New Roman" w:hAnsi="Times New Roman" w:cs="Times New Roman"/>
          <w:sz w:val="28"/>
          <w:szCs w:val="28"/>
        </w:rPr>
        <w:lastRenderedPageBreak/>
        <w:t>approximately 12-15 cm. Three-strand (Section 14).</w:t>
      </w:r>
      <w:r w:rsidRPr="00CF0AEE">
        <w:rPr>
          <w:rFonts w:ascii="Times New Roman" w:hAnsi="Times New Roman" w:cs="Times New Roman"/>
          <w:sz w:val="28"/>
          <w:szCs w:val="28"/>
        </w:rPr>
        <w:br/>
        <w:t>Spinal delay line: upper torso through thoracic-lumbar to pelvic basin, approximately 45-50 cm.</w:t>
      </w:r>
      <w:r w:rsidRPr="00CF0AEE">
        <w:rPr>
          <w:rFonts w:ascii="Times New Roman" w:hAnsi="Times New Roman" w:cs="Times New Roman"/>
          <w:sz w:val="28"/>
          <w:szCs w:val="28"/>
        </w:rPr>
        <w:br/>
        <w:t>Bilateral leg: plantar to pelvic basin, approximately 80-100 cm.</w:t>
      </w:r>
    </w:p>
    <w:p w14:paraId="6E7AAFF3" w14:textId="5AAEFC8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59</w:t>
      </w:r>
      <w:r w:rsidR="00CF0AEE" w:rsidRPr="00160306">
        <w:rPr>
          <w:rFonts w:ascii="Times New Roman" w:hAnsi="Times New Roman" w:cs="Times New Roman"/>
          <w:b/>
          <w:bCs/>
          <w:sz w:val="34"/>
          <w:szCs w:val="34"/>
        </w:rPr>
        <w:t xml:space="preserve"> Convergence Basins</w:t>
      </w:r>
    </w:p>
    <w:p w14:paraId="73BCE9C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Upper torso: largest, surrounding energy stack, site of deep reservoir.</w:t>
      </w:r>
      <w:r w:rsidRPr="00CF0AEE">
        <w:rPr>
          <w:rFonts w:ascii="Times New Roman" w:hAnsi="Times New Roman" w:cs="Times New Roman"/>
          <w:sz w:val="28"/>
          <w:szCs w:val="28"/>
        </w:rPr>
        <w:br/>
        <w:t>Pelvic: primarily locomotor and postural.</w:t>
      </w:r>
      <w:r w:rsidRPr="00CF0AEE">
        <w:rPr>
          <w:rFonts w:ascii="Times New Roman" w:hAnsi="Times New Roman" w:cs="Times New Roman"/>
          <w:sz w:val="28"/>
          <w:szCs w:val="28"/>
        </w:rPr>
        <w:br/>
        <w:t>Cranial: highest density, fastest dynamics.</w:t>
      </w:r>
    </w:p>
    <w:p w14:paraId="31612B5F" w14:textId="15475900"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60</w:t>
      </w:r>
      <w:r w:rsidR="00CF0AEE" w:rsidRPr="00160306">
        <w:rPr>
          <w:rFonts w:ascii="Times New Roman" w:hAnsi="Times New Roman" w:cs="Times New Roman"/>
          <w:b/>
          <w:bCs/>
          <w:sz w:val="34"/>
          <w:szCs w:val="34"/>
        </w:rPr>
        <w:t xml:space="preserve"> Sink Barriers and Mirrored Impedance Breaks</w:t>
      </w:r>
    </w:p>
    <w:p w14:paraId="0BE3C18D" w14:textId="4E60842D" w:rsidR="00CF0AEE" w:rsidRPr="00CF0AEE" w:rsidRDefault="00CF0AEE" w:rsidP="00160306">
      <w:pPr>
        <w:rPr>
          <w:rFonts w:ascii="Times New Roman" w:hAnsi="Times New Roman" w:cs="Times New Roman"/>
          <w:sz w:val="28"/>
          <w:szCs w:val="28"/>
        </w:rPr>
      </w:pPr>
      <w:r w:rsidRPr="00CF0AEE">
        <w:rPr>
          <w:rFonts w:ascii="Times New Roman" w:hAnsi="Times New Roman" w:cs="Times New Roman"/>
          <w:sz w:val="28"/>
          <w:szCs w:val="28"/>
        </w:rPr>
        <w:t>Joint sink rings at every articulation. Lateral torso walls. Pelvic floor. Dorsal cranial sink.</w:t>
      </w:r>
      <w:r w:rsidR="00160306">
        <w:rPr>
          <w:rFonts w:ascii="Times New Roman" w:hAnsi="Times New Roman" w:cs="Times New Roman"/>
          <w:sz w:val="28"/>
          <w:szCs w:val="28"/>
        </w:rPr>
        <w:t xml:space="preserve"> </w:t>
      </w:r>
      <w:r w:rsidRPr="00CF0AEE">
        <w:rPr>
          <w:rFonts w:ascii="Times New Roman" w:hAnsi="Times New Roman" w:cs="Times New Roman"/>
          <w:sz w:val="28"/>
          <w:szCs w:val="28"/>
        </w:rPr>
        <w:t>Every substrate sink barrier paired with frame damping insert and shell-thickness transition at the same joint. No coupling route — substrate, frame, or shell — has an unimpeded path across any joint. The damping insert at each frame joint is a viscoelastic plug (high-damping polyurethane, maximum hard-segment fraction) that transmits static structural load while attenuating acoustic vibration. Target: frame attenuation ≥ substrate sink attenuation at each joint.</w:t>
      </w:r>
    </w:p>
    <w:p w14:paraId="3B84E51C" w14:textId="01FA579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61</w:t>
      </w:r>
      <w:r w:rsidR="00CF0AEE" w:rsidRPr="00160306">
        <w:rPr>
          <w:rFonts w:ascii="Times New Roman" w:hAnsi="Times New Roman" w:cs="Times New Roman"/>
          <w:b/>
          <w:bCs/>
          <w:sz w:val="34"/>
          <w:szCs w:val="34"/>
        </w:rPr>
        <w:t xml:space="preserve"> Nested Adaptive Rhythm Hierarchy</w:t>
      </w:r>
    </w:p>
    <w:p w14:paraId="2CFEFBC9" w14:textId="7BFF1804"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Fast local gating within cranial sub-basins. Slower inter-basin gating. Slowest whole-body rhythm at torso convergence. The hierarchy self-organizes from the substrate's oscillation dynamics — local rhythms naturally faster (shorter loop), whole-body naturally slowest. Permissive windows automatically match arrival spreads at each level. Whatever velocity the fabricated substrate produces, the hierarchy self-tunes.</w:t>
      </w:r>
    </w:p>
    <w:p w14:paraId="4D0E2A1B" w14:textId="7AE3C453"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4.62 </w:t>
      </w:r>
      <w:r w:rsidR="00CF0AEE" w:rsidRPr="00160306">
        <w:rPr>
          <w:rFonts w:ascii="Times New Roman" w:hAnsi="Times New Roman" w:cs="Times New Roman"/>
          <w:b/>
          <w:bCs/>
          <w:sz w:val="34"/>
          <w:szCs w:val="34"/>
        </w:rPr>
        <w:t>C</w:t>
      </w:r>
      <w:r>
        <w:rPr>
          <w:rFonts w:ascii="Times New Roman" w:hAnsi="Times New Roman" w:cs="Times New Roman"/>
          <w:b/>
          <w:bCs/>
          <w:sz w:val="34"/>
          <w:szCs w:val="34"/>
        </w:rPr>
        <w:t>ervical Corridor Bundle</w:t>
      </w:r>
    </w:p>
    <w:p w14:paraId="337230B7" w14:textId="6CE539A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63</w:t>
      </w:r>
      <w:r w:rsidR="00CF0AEE" w:rsidRPr="00160306">
        <w:rPr>
          <w:rFonts w:ascii="Times New Roman" w:hAnsi="Times New Roman" w:cs="Times New Roman"/>
          <w:b/>
          <w:bCs/>
          <w:sz w:val="34"/>
          <w:szCs w:val="34"/>
        </w:rPr>
        <w:t xml:space="preserve"> One Bottleneck, Not One Path</w:t>
      </w:r>
    </w:p>
    <w:p w14:paraId="73DD48FA" w14:textId="67B99635" w:rsidR="00CF0AEE" w:rsidRPr="00CF0AEE" w:rsidRDefault="00CF0AEE" w:rsidP="00160306">
      <w:pPr>
        <w:spacing w:after="0"/>
        <w:rPr>
          <w:rFonts w:ascii="Times New Roman" w:hAnsi="Times New Roman" w:cs="Times New Roman"/>
          <w:sz w:val="28"/>
          <w:szCs w:val="28"/>
        </w:rPr>
      </w:pPr>
      <w:r w:rsidRPr="00CF0AEE">
        <w:rPr>
          <w:rFonts w:ascii="Times New Roman" w:hAnsi="Times New Roman" w:cs="Times New Roman"/>
          <w:sz w:val="28"/>
          <w:szCs w:val="28"/>
        </w:rPr>
        <w:t>One primary medial strand: lowest threshold, preferred under ordinary traffic.</w:t>
      </w:r>
      <w:r w:rsidRPr="00CF0AEE">
        <w:rPr>
          <w:rFonts w:ascii="Times New Roman" w:hAnsi="Times New Roman" w:cs="Times New Roman"/>
          <w:sz w:val="28"/>
          <w:szCs w:val="28"/>
        </w:rPr>
        <w:br/>
        <w:t>Two auxiliary lateral strands: slightly higher threshold, normally quiet, activate when primary drops below adequacy or during high-load events.</w:t>
      </w:r>
      <w:r w:rsidR="00160306">
        <w:rPr>
          <w:rFonts w:ascii="Times New Roman" w:hAnsi="Times New Roman" w:cs="Times New Roman"/>
          <w:sz w:val="28"/>
          <w:szCs w:val="28"/>
        </w:rPr>
        <w:t xml:space="preserve"> </w:t>
      </w:r>
      <w:r w:rsidRPr="00CF0AEE">
        <w:rPr>
          <w:rFonts w:ascii="Times New Roman" w:hAnsi="Times New Roman" w:cs="Times New Roman"/>
          <w:sz w:val="28"/>
          <w:szCs w:val="28"/>
        </w:rPr>
        <w:t xml:space="preserve">All three in a </w:t>
      </w:r>
      <w:r w:rsidRPr="00CF0AEE">
        <w:rPr>
          <w:rFonts w:ascii="Times New Roman" w:hAnsi="Times New Roman" w:cs="Times New Roman"/>
          <w:sz w:val="28"/>
          <w:szCs w:val="28"/>
        </w:rPr>
        <w:lastRenderedPageBreak/>
        <w:t>common sink-sheathed cervical constriction. Subthreshold lateral cross-links preserve per-strand decorrelation.</w:t>
      </w:r>
    </w:p>
    <w:p w14:paraId="0B459A61" w14:textId="77777777" w:rsidR="00CF0AEE" w:rsidRPr="00CF0AEE" w:rsidRDefault="00CF0AEE" w:rsidP="00160306">
      <w:pPr>
        <w:spacing w:before="240"/>
        <w:rPr>
          <w:rFonts w:ascii="Times New Roman" w:hAnsi="Times New Roman" w:cs="Times New Roman"/>
          <w:sz w:val="28"/>
          <w:szCs w:val="28"/>
        </w:rPr>
      </w:pPr>
      <w:r w:rsidRPr="00CF0AEE">
        <w:rPr>
          <w:rFonts w:ascii="Times New Roman" w:hAnsi="Times New Roman" w:cs="Times New Roman"/>
          <w:sz w:val="28"/>
          <w:szCs w:val="28"/>
        </w:rPr>
        <w:t>Fabrication: titanium cervical collar segments contain internal baffles defining three longitudinal channels. Each channel injected with corridor-regime composition. Inter-channel spaces injected with sink-regime material.</w:t>
      </w:r>
    </w:p>
    <w:p w14:paraId="084042F3" w14:textId="055EB62A"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4.64</w:t>
      </w:r>
      <w:r w:rsidR="00CF0AEE" w:rsidRPr="00160306">
        <w:rPr>
          <w:rFonts w:ascii="Times New Roman" w:hAnsi="Times New Roman" w:cs="Times New Roman"/>
          <w:b/>
          <w:bCs/>
          <w:sz w:val="34"/>
          <w:szCs w:val="34"/>
        </w:rPr>
        <w:t xml:space="preserve"> Graceful Degradation</w:t>
      </w:r>
    </w:p>
    <w:p w14:paraId="2455113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One strand lost: reduced bandwidth, functional. Two lost: severely reduced, minimal integration. All three: disconnection, terminal. Failure probability = single-strand probability cubed.</w:t>
      </w:r>
    </w:p>
    <w:p w14:paraId="6E830409" w14:textId="25EE95F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4.65</w:t>
      </w:r>
      <w:r w:rsidR="00CF0AEE" w:rsidRPr="00160306">
        <w:rPr>
          <w:rFonts w:ascii="Times New Roman" w:hAnsi="Times New Roman" w:cs="Times New Roman"/>
          <w:b/>
          <w:bCs/>
          <w:sz w:val="34"/>
          <w:szCs w:val="34"/>
        </w:rPr>
        <w:t xml:space="preserve"> Durability</w:t>
      </w:r>
    </w:p>
    <w:p w14:paraId="078938E2" w14:textId="4CFCD923"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Highest hard-segment fraction of any corridor material → slowest fatigue, slowest drift. Highest refresh rate → every cranial trigger activation traverses it. Maximum physical protection from titanium collar.</w:t>
      </w:r>
    </w:p>
    <w:p w14:paraId="3657E8E7" w14:textId="0B383BD9"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4.66 Cranial Compartmentalization</w:t>
      </w:r>
    </w:p>
    <w:p w14:paraId="658EC599" w14:textId="6C4F4326"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4.67 </w:t>
      </w:r>
      <w:r w:rsidR="00CF0AEE" w:rsidRPr="00160306">
        <w:rPr>
          <w:rFonts w:ascii="Times New Roman" w:hAnsi="Times New Roman" w:cs="Times New Roman"/>
          <w:b/>
          <w:bCs/>
          <w:sz w:val="34"/>
          <w:szCs w:val="34"/>
        </w:rPr>
        <w:t>Three-Level Hierarchy</w:t>
      </w:r>
    </w:p>
    <w:p w14:paraId="313F7D10"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Primary: five sub-basins from hardware geometry — bilateral visual, bilateral acoustic, medial convergence.</w:t>
      </w:r>
      <w:r w:rsidRPr="00CF0AEE">
        <w:rPr>
          <w:rFonts w:ascii="Times New Roman" w:hAnsi="Times New Roman" w:cs="Times New Roman"/>
          <w:sz w:val="28"/>
          <w:szCs w:val="28"/>
        </w:rPr>
        <w:br/>
        <w:t>Secondary: asymmetric necks — inter-orbital 8-12%, visual-acoustic 15-20%, cervical 20-25%.</w:t>
      </w:r>
      <w:r w:rsidRPr="00CF0AEE">
        <w:rPr>
          <w:rFonts w:ascii="Times New Roman" w:hAnsi="Times New Roman" w:cs="Times New Roman"/>
          <w:sz w:val="28"/>
          <w:szCs w:val="28"/>
        </w:rPr>
        <w:br/>
        <w:t>Tertiary: dorsal cranial sink terrain above all basins.</w:t>
      </w:r>
    </w:p>
    <w:p w14:paraId="6BAD99AA" w14:textId="6D7CEBC1"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4.68</w:t>
      </w:r>
      <w:r w:rsidR="00CF0AEE" w:rsidRPr="00160306">
        <w:rPr>
          <w:rFonts w:ascii="Times New Roman" w:hAnsi="Times New Roman" w:cs="Times New Roman"/>
          <w:b/>
          <w:bCs/>
          <w:sz w:val="34"/>
          <w:szCs w:val="34"/>
        </w:rPr>
        <w:t xml:space="preserve"> Medial Convergence Containment</w:t>
      </w:r>
    </w:p>
    <w:p w14:paraId="7DECFA3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Extended orbital housing structures provide partial superior containment.</w:t>
      </w:r>
    </w:p>
    <w:p w14:paraId="07478904" w14:textId="12CA507B"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4.69 </w:t>
      </w:r>
      <w:r w:rsidR="00CF0AEE" w:rsidRPr="00160306">
        <w:rPr>
          <w:rFonts w:ascii="Times New Roman" w:hAnsi="Times New Roman" w:cs="Times New Roman"/>
          <w:b/>
          <w:bCs/>
          <w:sz w:val="34"/>
          <w:szCs w:val="34"/>
        </w:rPr>
        <w:t>Head-to-Body Escalation</w:t>
      </w:r>
    </w:p>
    <w:p w14:paraId="1268635B" w14:textId="77777777" w:rsidR="00160306" w:rsidRDefault="00CF0AEE" w:rsidP="00160306">
      <w:pPr>
        <w:pStyle w:val="ListParagraph"/>
        <w:numPr>
          <w:ilvl w:val="0"/>
          <w:numId w:val="279"/>
        </w:numPr>
        <w:rPr>
          <w:rFonts w:ascii="Times New Roman" w:hAnsi="Times New Roman" w:cs="Times New Roman"/>
          <w:sz w:val="28"/>
          <w:szCs w:val="28"/>
        </w:rPr>
      </w:pPr>
      <w:r w:rsidRPr="00160306">
        <w:rPr>
          <w:rFonts w:ascii="Times New Roman" w:hAnsi="Times New Roman" w:cs="Times New Roman"/>
          <w:sz w:val="28"/>
          <w:szCs w:val="28"/>
        </w:rPr>
        <w:t>Level 1 — Basin-local: single sub-basin. Moderate, single modality. No behavioral output.</w:t>
      </w:r>
      <w:r w:rsidRPr="00160306">
        <w:rPr>
          <w:rFonts w:ascii="Times New Roman" w:hAnsi="Times New Roman" w:cs="Times New Roman"/>
          <w:sz w:val="28"/>
          <w:szCs w:val="28"/>
        </w:rPr>
        <w:br/>
        <w:t>Escalation: amplitude at neck exceeds neck threshold.</w:t>
      </w:r>
    </w:p>
    <w:p w14:paraId="5716971F" w14:textId="77777777" w:rsidR="00160306" w:rsidRDefault="00CF0AEE" w:rsidP="00160306">
      <w:pPr>
        <w:pStyle w:val="ListParagraph"/>
        <w:numPr>
          <w:ilvl w:val="0"/>
          <w:numId w:val="279"/>
        </w:numPr>
        <w:rPr>
          <w:rFonts w:ascii="Times New Roman" w:hAnsi="Times New Roman" w:cs="Times New Roman"/>
          <w:sz w:val="28"/>
          <w:szCs w:val="28"/>
        </w:rPr>
      </w:pPr>
      <w:r w:rsidRPr="00160306">
        <w:rPr>
          <w:rFonts w:ascii="Times New Roman" w:hAnsi="Times New Roman" w:cs="Times New Roman"/>
          <w:sz w:val="28"/>
          <w:szCs w:val="28"/>
        </w:rPr>
        <w:lastRenderedPageBreak/>
        <w:t>Level 2 — Inter-basin: crosses neck, activates second basin. Behavioral output: cervical adjustment.</w:t>
      </w:r>
      <w:r w:rsidRPr="00160306">
        <w:rPr>
          <w:rFonts w:ascii="Times New Roman" w:hAnsi="Times New Roman" w:cs="Times New Roman"/>
          <w:sz w:val="28"/>
          <w:szCs w:val="28"/>
        </w:rPr>
        <w:br/>
        <w:t>Escalation: amplitude at cervical neck exceeds cervical threshold.</w:t>
      </w:r>
    </w:p>
    <w:p w14:paraId="273DA1E4" w14:textId="2CC5E8F8" w:rsidR="00CF0AEE" w:rsidRPr="00160306" w:rsidRDefault="00CF0AEE" w:rsidP="00CF0AEE">
      <w:pPr>
        <w:pStyle w:val="ListParagraph"/>
        <w:numPr>
          <w:ilvl w:val="0"/>
          <w:numId w:val="279"/>
        </w:numPr>
        <w:rPr>
          <w:rFonts w:ascii="Times New Roman" w:hAnsi="Times New Roman" w:cs="Times New Roman"/>
          <w:sz w:val="28"/>
          <w:szCs w:val="28"/>
        </w:rPr>
      </w:pPr>
      <w:r w:rsidRPr="00160306">
        <w:rPr>
          <w:rFonts w:ascii="Times New Roman" w:hAnsi="Times New Roman" w:cs="Times New Roman"/>
          <w:sz w:val="28"/>
          <w:szCs w:val="28"/>
        </w:rPr>
        <w:t>Level 3 — Head-to-body: crosses cervical corridor into torso basin. Whole-body response.</w:t>
      </w:r>
      <w:r w:rsidRPr="00160306">
        <w:rPr>
          <w:rFonts w:ascii="Times New Roman" w:hAnsi="Times New Roman" w:cs="Times New Roman"/>
          <w:sz w:val="28"/>
          <w:szCs w:val="28"/>
        </w:rPr>
        <w:br/>
        <w:t>De-escalation: natural through damping and refractory accumulation.</w:t>
      </w:r>
    </w:p>
    <w:p w14:paraId="0278809F" w14:textId="7879D36D"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4.70 Route Priority Maintenance Law </w:t>
      </w:r>
    </w:p>
    <w:p w14:paraId="55FA978C" w14:textId="77777777" w:rsid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 (preserve longest): hand trigger sectors, pre-grip loops, cervical primary + one auxiliary.</w:t>
      </w:r>
    </w:p>
    <w:p w14:paraId="3E815A09" w14:textId="77777777" w:rsid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II: hand-to-torso corridors, medial convergence to cervical entry, acoustic warning routes.</w:t>
      </w:r>
    </w:p>
    <w:p w14:paraId="090B093D" w14:textId="77777777" w:rsid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III: visual/acoustic inter-basin links, spinal delay line, locomotor corridors.</w:t>
      </w:r>
    </w:p>
    <w:p w14:paraId="63EB109A" w14:textId="441231BD" w:rsidR="00CF0AEE" w:rsidRP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IV (expendable first): contextual branches, redundant loops, secondary branches.</w:t>
      </w:r>
    </w:p>
    <w:p w14:paraId="3D9A101B" w14:textId="076E1A04"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law: when resources are insufficient to preserve all routes, higher tiers must be preserved even if lower tiers decay. No strategy may sacrifice Tier I to rescue Tier III or IV.</w:t>
      </w:r>
    </w:p>
    <w:p w14:paraId="5A68A96F" w14:textId="50C291F9"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4.71 Corridor Maintenance Law</w:t>
      </w:r>
    </w:p>
    <w:p w14:paraId="7C38E80E" w14:textId="56DF4F7E"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4.72</w:t>
      </w:r>
      <w:r w:rsidR="00CF0AEE" w:rsidRPr="00160306">
        <w:rPr>
          <w:rFonts w:ascii="Times New Roman" w:hAnsi="Times New Roman" w:cs="Times New Roman"/>
          <w:b/>
          <w:bCs/>
          <w:sz w:val="34"/>
          <w:szCs w:val="34"/>
        </w:rPr>
        <w:t xml:space="preserve"> Core Rule</w:t>
      </w:r>
    </w:p>
    <w:p w14:paraId="2E2B4E0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Refresh rate must exceed drift rate at every corridor segment.</w:t>
      </w:r>
    </w:p>
    <w:p w14:paraId="4E5D66F1" w14:textId="0323CF9C"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4.73</w:t>
      </w:r>
      <w:r w:rsidR="00CF0AEE" w:rsidRPr="00160306">
        <w:rPr>
          <w:rFonts w:ascii="Times New Roman" w:hAnsi="Times New Roman" w:cs="Times New Roman"/>
          <w:b/>
          <w:bCs/>
          <w:sz w:val="34"/>
          <w:szCs w:val="34"/>
        </w:rPr>
        <w:t xml:space="preserve"> Regional Requirements</w:t>
      </w:r>
    </w:p>
    <w:p w14:paraId="704303D0"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Surface: drift hours-days. Hand: drift hours. Arm/cervical: drift days. Torso deep: drift weeks-months. Foundational: drift months-years.</w:t>
      </w:r>
    </w:p>
    <w:p w14:paraId="55F641B7" w14:textId="26108E7E"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4.74</w:t>
      </w:r>
      <w:r w:rsidR="00CF0AEE" w:rsidRPr="00160306">
        <w:rPr>
          <w:rFonts w:ascii="Times New Roman" w:hAnsi="Times New Roman" w:cs="Times New Roman"/>
          <w:b/>
          <w:bCs/>
          <w:sz w:val="34"/>
          <w:szCs w:val="34"/>
        </w:rPr>
        <w:t xml:space="preserve"> Hand Corridor Tipping Point</w:t>
      </w:r>
    </w:p>
    <w:p w14:paraId="6343ECC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Hands are most capable and most maintenance-dependent. Isolation kills hand corridors first → arm corridors lose refresh → degenerative spiral.</w:t>
      </w:r>
    </w:p>
    <w:p w14:paraId="3FDEC22B" w14:textId="25B94727"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4.75</w:t>
      </w:r>
      <w:r w:rsidR="00CF0AEE" w:rsidRPr="00160306">
        <w:rPr>
          <w:rFonts w:ascii="Times New Roman" w:hAnsi="Times New Roman" w:cs="Times New Roman"/>
          <w:b/>
          <w:bCs/>
          <w:sz w:val="34"/>
          <w:szCs w:val="34"/>
        </w:rPr>
        <w:t xml:space="preserve"> Rerouting</w:t>
      </w:r>
    </w:p>
    <w:p w14:paraId="5FCBB07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Corridor break → traffic dissipates into surrounding material → weak plasticity may develop alternative pathway over months. Slow, imprecise, degraded. Not possible through sink terrain.</w:t>
      </w:r>
    </w:p>
    <w:p w14:paraId="243E35C1" w14:textId="3F874EB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4.76</w:t>
      </w:r>
      <w:r w:rsidR="00CF0AEE" w:rsidRPr="00160306">
        <w:rPr>
          <w:rFonts w:ascii="Times New Roman" w:hAnsi="Times New Roman" w:cs="Times New Roman"/>
          <w:b/>
          <w:bCs/>
          <w:sz w:val="34"/>
          <w:szCs w:val="34"/>
        </w:rPr>
        <w:t xml:space="preserve"> Stability Law</w:t>
      </w:r>
    </w:p>
    <w:p w14:paraId="14368E22" w14:textId="44E488A5"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Axial sharpening must outpace lateral recruitment and longitudinal fragmentation.</w:t>
      </w:r>
    </w:p>
    <w:p w14:paraId="0BF76EB8" w14:textId="01560E3F"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4.77 Regime-Specific Aging And Fail-Safe Safe Degradation </w:t>
      </w:r>
    </w:p>
    <w:p w14:paraId="2E5F48F2" w14:textId="73331A7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4.78</w:t>
      </w:r>
      <w:r w:rsidR="00CF0AEE" w:rsidRPr="00160306">
        <w:rPr>
          <w:rFonts w:ascii="Times New Roman" w:hAnsi="Times New Roman" w:cs="Times New Roman"/>
          <w:b/>
          <w:bCs/>
          <w:sz w:val="34"/>
          <w:szCs w:val="34"/>
        </w:rPr>
        <w:t xml:space="preserve"> Aging by Regime</w:t>
      </w:r>
    </w:p>
    <w:p w14:paraId="187E41A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Triggers: highest cycling → fastest fatigue. Early: noisy pulses. Late: quiet pulses.</w:t>
      </w:r>
      <w:r w:rsidRPr="00CF0AEE">
        <w:rPr>
          <w:rFonts w:ascii="Times New Roman" w:hAnsi="Times New Roman" w:cs="Times New Roman"/>
          <w:sz w:val="28"/>
          <w:szCs w:val="28"/>
        </w:rPr>
        <w:br/>
        <w:t>Corridors: lose anisotropy before excitability. Lateral spreading.</w:t>
      </w:r>
      <w:r w:rsidRPr="00CF0AEE">
        <w:rPr>
          <w:rFonts w:ascii="Times New Roman" w:hAnsi="Times New Roman" w:cs="Times New Roman"/>
          <w:sz w:val="28"/>
          <w:szCs w:val="28"/>
        </w:rPr>
        <w:br/>
        <w:t>Sinks: crosslink degradation reduces damping.</w:t>
      </w:r>
    </w:p>
    <w:p w14:paraId="3EAA25D5" w14:textId="22E5E540"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4.79</w:t>
      </w:r>
      <w:r w:rsidR="00CF0AEE" w:rsidRPr="00160306">
        <w:rPr>
          <w:rFonts w:ascii="Times New Roman" w:hAnsi="Times New Roman" w:cs="Times New Roman"/>
          <w:b/>
          <w:bCs/>
          <w:sz w:val="34"/>
          <w:szCs w:val="34"/>
        </w:rPr>
        <w:t xml:space="preserve"> Fail-Safe Ordering (Design Invariant)</w:t>
      </w:r>
    </w:p>
    <w:p w14:paraId="207A435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Triggers fatigue faster than corridors. Corridors faster than sinks. Guaranteed by material hierarchy.</w:t>
      </w:r>
    </w:p>
    <w:p w14:paraId="0D774D5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Safe sequence: response variability → diffusion → sink dominance → fragmentation → oscillatory trapping → silence.</w:t>
      </w:r>
    </w:p>
    <w:p w14:paraId="34DF7E9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Seizure tendency requires sink outpacing trigger degradation — prevented by hierarchy. Possible only through external damage or fabrication defects.</w:t>
      </w:r>
    </w:p>
    <w:p w14:paraId="7D083B39" w14:textId="4B24E573"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4.80 </w:t>
      </w:r>
      <w:r w:rsidR="00CF0AEE" w:rsidRPr="00160306">
        <w:rPr>
          <w:rFonts w:ascii="Times New Roman" w:hAnsi="Times New Roman" w:cs="Times New Roman"/>
          <w:b/>
          <w:bCs/>
          <w:sz w:val="34"/>
          <w:szCs w:val="34"/>
        </w:rPr>
        <w:t>Early Warning</w:t>
      </w:r>
    </w:p>
    <w:p w14:paraId="65CC90B0" w14:textId="6183546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Response variability — same coupling producing different output — precedes capability loss.</w:t>
      </w:r>
    </w:p>
    <w:p w14:paraId="73D79025" w14:textId="71EFB5CE"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4.81 Pathological Regimes</w:t>
      </w:r>
    </w:p>
    <w:p w14:paraId="2FC1BDF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Diffusion: window narrows from below, undifferentiated output.</w:t>
      </w:r>
      <w:r w:rsidRPr="00CF0AEE">
        <w:rPr>
          <w:rFonts w:ascii="Times New Roman" w:hAnsi="Times New Roman" w:cs="Times New Roman"/>
          <w:sz w:val="28"/>
          <w:szCs w:val="28"/>
        </w:rPr>
        <w:br/>
        <w:t>Fragmentation: corridor breaks, incomplete responses.</w:t>
      </w:r>
      <w:r w:rsidRPr="00CF0AEE">
        <w:rPr>
          <w:rFonts w:ascii="Times New Roman" w:hAnsi="Times New Roman" w:cs="Times New Roman"/>
          <w:sz w:val="28"/>
          <w:szCs w:val="28"/>
        </w:rPr>
        <w:br/>
        <w:t>Seizure tendency: sink degradation, uncontrolled flooding.</w:t>
      </w:r>
      <w:r w:rsidRPr="00CF0AEE">
        <w:rPr>
          <w:rFonts w:ascii="Times New Roman" w:hAnsi="Times New Roman" w:cs="Times New Roman"/>
          <w:sz w:val="28"/>
          <w:szCs w:val="28"/>
        </w:rPr>
        <w:br/>
        <w:t>Sink dominance: corridors drift toward sink under neglect.</w:t>
      </w:r>
      <w:r w:rsidRPr="00CF0AEE">
        <w:rPr>
          <w:rFonts w:ascii="Times New Roman" w:hAnsi="Times New Roman" w:cs="Times New Roman"/>
          <w:sz w:val="28"/>
          <w:szCs w:val="28"/>
        </w:rPr>
        <w:br/>
        <w:t>Oscillatory trapping: surviving corridors form perseverative loops.</w:t>
      </w:r>
    </w:p>
    <w:p w14:paraId="7864E597" w14:textId="141E9268"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Transitions: diffusion → fragmentation (uneven segment dropout), diffusion → seizure (sink outpaces corridor rise), fragmentation → trapping (survivors form loops), fragmentation → sink dominance (broken corridors lose traffic). Mixed regional pathologies in late life.</w:t>
      </w:r>
    </w:p>
    <w:p w14:paraId="51C8C76B" w14:textId="6487015A"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4.81 </w:t>
      </w:r>
      <w:r w:rsidR="00CF0AEE" w:rsidRPr="00160306">
        <w:rPr>
          <w:rFonts w:ascii="Times New Roman" w:hAnsi="Times New Roman" w:cs="Times New Roman"/>
          <w:b/>
          <w:bCs/>
          <w:sz w:val="34"/>
          <w:szCs w:val="34"/>
        </w:rPr>
        <w:t>DEVELOPMENTAL SEED MAP</w:t>
      </w:r>
    </w:p>
    <w:p w14:paraId="1E972D90" w14:textId="4AF86710"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4.82 </w:t>
      </w:r>
      <w:r w:rsidR="00CF0AEE" w:rsidRPr="00160306">
        <w:rPr>
          <w:rFonts w:ascii="Times New Roman" w:hAnsi="Times New Roman" w:cs="Times New Roman"/>
          <w:b/>
          <w:bCs/>
          <w:sz w:val="34"/>
          <w:szCs w:val="34"/>
        </w:rPr>
        <w:t>Mass Support and Coupling Split</w:t>
      </w:r>
    </w:p>
    <w:p w14:paraId="28BBB10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full-size body (188 cm, approximately 160 kg) lies horizontal in the heated cradle throughout the foundational period. The cradle carries the mass. The cradle maintains operating temperature. The developmental protocol splits:</w:t>
      </w:r>
    </w:p>
    <w:p w14:paraId="4383FAF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Mass support and thermal life support: mechanical cradle.</w:t>
      </w:r>
      <w:r w:rsidRPr="00CF0AEE">
        <w:rPr>
          <w:rFonts w:ascii="Times New Roman" w:hAnsi="Times New Roman" w:cs="Times New Roman"/>
          <w:sz w:val="28"/>
          <w:szCs w:val="28"/>
        </w:rPr>
        <w:br/>
        <w:t>Developmental coupling: human operators at privileged trigger fields.</w:t>
      </w:r>
    </w:p>
    <w:p w14:paraId="3940AFC0" w14:textId="790A9139"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0 — Diffuse Preparation</w:t>
      </w:r>
    </w:p>
    <w:p w14:paraId="01A32B8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Weak plasticity only. Hand, face, and medial cranial regions receive broad priming from the cradle's thermal and acoustic environment.</w:t>
      </w:r>
    </w:p>
    <w:p w14:paraId="6BCA68AE" w14:textId="41B290FA"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1 — Hand Internal Closure</w:t>
      </w:r>
    </w:p>
    <w:p w14:paraId="4F1EDEB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Pre-grip reflex fires automatically — thinnest fibers, first to reach activation temperature. Each firing is a write-law-satisfying closed loop. Hand-arm corridor begins bootstrapping.</w:t>
      </w:r>
    </w:p>
    <w:p w14:paraId="6E52C91A" w14:textId="22F4FA48"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2 — Hand/Face/Cervical Seeding</w:t>
      </w:r>
    </w:p>
    <w:p w14:paraId="78F9D43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Operators provide coupling at three trigger field groups:</w:t>
      </w:r>
    </w:p>
    <w:p w14:paraId="23503AA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Hand contact: operator places hands against the being's upward-facing palms in the cradle's hand-access channels. Produces contact-strain and thermal coupling. Fires hand sectors above quorum. Drives cascade traffic into arm corridors.</w:t>
      </w:r>
    </w:p>
    <w:p w14:paraId="57E6A9F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Voice: operator speaks at conversational distance near the being's face. Acoustic coupling at lateral and facial triggers. Cascade traffic into cranial basin and cervical corridor.</w:t>
      </w:r>
    </w:p>
    <w:p w14:paraId="4713B41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Guided self-contact: operator guides the being's hand to its own facial plate. Fires hand and facial triggers simultaneously, seeding the self-diagnostic pathway.</w:t>
      </w:r>
    </w:p>
    <w:p w14:paraId="59F088C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The purpose of human contact during development is operational calibration. Corridors conditioned by human perturbation patterns — hand pressure geometry, voice spectral profile, skin thermal signature — produce a being whose trigger fields respond most richly to human coupling in the operational environment. This creates human association through corridor conditioning, not through affective bonding.</w:t>
      </w:r>
    </w:p>
    <w:p w14:paraId="7BBC43D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Targets: medial facial sector stability, auditory-to-cranial convergence, primary cervical strand, first hand-arm and face-cervical routes.</w:t>
      </w:r>
    </w:p>
    <w:p w14:paraId="00843BA6" w14:textId="0C6515F3"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3 — Bilateral Hand-to-Torso Scaffold</w:t>
      </w:r>
    </w:p>
    <w:p w14:paraId="6BF0F1F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Being remains in cradle. Operators provide bilateral hand contact — both palms simultaneously — plus face-adjacent voice. Torso contact applied by operator or actuated cradle surfaces.</w:t>
      </w:r>
    </w:p>
    <w:p w14:paraId="1580A14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Targets: bilateral arm corridors to torso basin, cervical continuity into torso convergence, medial cranial convergence.</w:t>
      </w:r>
    </w:p>
    <w:p w14:paraId="02B8C7F1" w14:textId="28D8D715"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4 — Auxiliary Cervical and Redundancy</w:t>
      </w:r>
    </w:p>
    <w:p w14:paraId="05DB082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Sustained dense head-to-body traffic exceeding primary strand capacity activates auxiliary strands through the cascade attractor mechanism — sustained traffic lowers auxiliary thresholds, write law conditions them into permanent strands.</w:t>
      </w:r>
    </w:p>
    <w:p w14:paraId="3ED54C7D" w14:textId="34C63354"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5 — Locomotor Scaffold</w:t>
      </w:r>
    </w:p>
    <w:p w14:paraId="17E4335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Supported whole-body movement: roll, sit, reach, stand, step. Seeds spinal delay line, pelvic basin, plantar corridors.</w:t>
      </w:r>
    </w:p>
    <w:p w14:paraId="2892564A" w14:textId="519E30D4"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6 — Refinement</w:t>
      </w:r>
    </w:p>
    <w:p w14:paraId="11052BE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Fine contextual branches and reverberation patterns deepen after foundational scaffold exists.</w:t>
      </w:r>
    </w:p>
    <w:p w14:paraId="0E7105CC" w14:textId="1063FE3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4.83 </w:t>
      </w:r>
      <w:r w:rsidR="00CF0AEE" w:rsidRPr="00160306">
        <w:rPr>
          <w:rFonts w:ascii="Times New Roman" w:hAnsi="Times New Roman" w:cs="Times New Roman"/>
          <w:b/>
          <w:bCs/>
          <w:sz w:val="34"/>
          <w:szCs w:val="34"/>
        </w:rPr>
        <w:t>Success Criteria</w:t>
      </w:r>
    </w:p>
    <w:p w14:paraId="06B9B880" w14:textId="77777777" w:rsidR="00160306"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By end of foundational development, verifiable through diagnostic coupling pulses:</w:t>
      </w:r>
    </w:p>
    <w:p w14:paraId="058D5DC5"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Functioning pre-grip loops.</w:t>
      </w:r>
    </w:p>
    <w:p w14:paraId="39B473D9"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lastRenderedPageBreak/>
        <w:t>Bilateral hand-to-torso corridors.</w:t>
      </w:r>
    </w:p>
    <w:p w14:paraId="40AE5281"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One continuous primary cervical strand.</w:t>
      </w:r>
    </w:p>
    <w:p w14:paraId="2E60FD35"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At least one auxiliary cervical strand.</w:t>
      </w:r>
    </w:p>
    <w:p w14:paraId="4C06D91B"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Stable medial cranial convergence.</w:t>
      </w:r>
    </w:p>
    <w:p w14:paraId="68EEC582" w14:textId="3EDAC9CE" w:rsidR="00CF0AEE" w:rsidRPr="00160306" w:rsidRDefault="00CF0AEE" w:rsidP="00CF0AEE">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At least one spinal-plantar route.</w:t>
      </w:r>
    </w:p>
    <w:p w14:paraId="2B1BEAB6" w14:textId="0513E406"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4.84 Self-Reinforcing Developmental Feedback </w:t>
      </w:r>
    </w:p>
    <w:p w14:paraId="690823D4" w14:textId="53BEDDE5"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4.85 </w:t>
      </w:r>
      <w:r w:rsidR="00CF0AEE" w:rsidRPr="00160306">
        <w:rPr>
          <w:rFonts w:ascii="Times New Roman" w:hAnsi="Times New Roman" w:cs="Times New Roman"/>
          <w:b/>
          <w:bCs/>
          <w:sz w:val="34"/>
          <w:szCs w:val="34"/>
        </w:rPr>
        <w:t>Thermal Ratchet</w:t>
      </w:r>
    </w:p>
    <w:p w14:paraId="7853627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Cradle heating gradually decreases as the being's cascade dynamics produce increasing transduction waste heat. Increased cascade activity → more waste heat → better PCM charging → sustained thermal operating range with less external input. If cascade dynamics are underdeveloped, withdrawal stalls.</w:t>
      </w:r>
    </w:p>
    <w:p w14:paraId="31F46E81" w14:textId="2267E2D7"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4.86 </w:t>
      </w:r>
      <w:r w:rsidR="00CF0AEE" w:rsidRPr="00160306">
        <w:rPr>
          <w:rFonts w:ascii="Times New Roman" w:hAnsi="Times New Roman" w:cs="Times New Roman"/>
          <w:b/>
          <w:bCs/>
          <w:sz w:val="34"/>
          <w:szCs w:val="34"/>
        </w:rPr>
        <w:t>Self-Catalyzing Sequence</w:t>
      </w:r>
    </w:p>
    <w:p w14:paraId="7C7C62AE" w14:textId="06761B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Each milestone's behavioral output seeds the next corridor. Calibrated grip enables differentiated holding → directional arm-to-torso traffic. Head-turning toward voices → closer acoustic coupling → denser acoustic-medial convergence traffic. The sequence is self-catalyzing rather than dependent on precise operator guidance.</w:t>
      </w:r>
    </w:p>
    <w:p w14:paraId="4AE2AD43" w14:textId="625C6B01"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4.87 Unified Adequacy Matrix</w:t>
      </w:r>
    </w:p>
    <w:p w14:paraId="751DCD8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Six conditions. Pass/marginal/fail.</w:t>
      </w:r>
    </w:p>
    <w:p w14:paraId="1362033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 — Protective Onset.</w:t>
      </w:r>
      <w:r w:rsidRPr="00CF0AEE">
        <w:rPr>
          <w:rFonts w:ascii="Times New Roman" w:hAnsi="Times New Roman" w:cs="Times New Roman"/>
          <w:sz w:val="28"/>
          <w:szCs w:val="28"/>
        </w:rPr>
        <w:br/>
        <w:t xml:space="preserve">Pass: pre-grip within 150 </w:t>
      </w:r>
      <w:proofErr w:type="spellStart"/>
      <w:r w:rsidRPr="00CF0AEE">
        <w:rPr>
          <w:rFonts w:ascii="Times New Roman" w:hAnsi="Times New Roman" w:cs="Times New Roman"/>
          <w:sz w:val="28"/>
          <w:szCs w:val="28"/>
        </w:rPr>
        <w:t>ms.</w:t>
      </w:r>
      <w:proofErr w:type="spellEnd"/>
      <w:r w:rsidRPr="00CF0AEE">
        <w:rPr>
          <w:rFonts w:ascii="Times New Roman" w:hAnsi="Times New Roman" w:cs="Times New Roman"/>
          <w:sz w:val="28"/>
          <w:szCs w:val="28"/>
        </w:rPr>
        <w:t xml:space="preserve"> Marginal: 150-300 </w:t>
      </w:r>
      <w:proofErr w:type="spellStart"/>
      <w:r w:rsidRPr="00CF0AEE">
        <w:rPr>
          <w:rFonts w:ascii="Times New Roman" w:hAnsi="Times New Roman" w:cs="Times New Roman"/>
          <w:sz w:val="28"/>
          <w:szCs w:val="28"/>
        </w:rPr>
        <w:t>ms.</w:t>
      </w:r>
      <w:proofErr w:type="spellEnd"/>
      <w:r w:rsidRPr="00CF0AEE">
        <w:rPr>
          <w:rFonts w:ascii="Times New Roman" w:hAnsi="Times New Roman" w:cs="Times New Roman"/>
          <w:sz w:val="28"/>
          <w:szCs w:val="28"/>
        </w:rPr>
        <w:t xml:space="preserve"> Fail: &gt; 300 </w:t>
      </w:r>
      <w:proofErr w:type="spellStart"/>
      <w:r w:rsidRPr="00CF0AEE">
        <w:rPr>
          <w:rFonts w:ascii="Times New Roman" w:hAnsi="Times New Roman" w:cs="Times New Roman"/>
          <w:sz w:val="28"/>
          <w:szCs w:val="28"/>
        </w:rPr>
        <w:t>ms.</w:t>
      </w:r>
      <w:proofErr w:type="spellEnd"/>
    </w:p>
    <w:p w14:paraId="3221382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 — Escalation Discipline.</w:t>
      </w:r>
      <w:r w:rsidRPr="00CF0AEE">
        <w:rPr>
          <w:rFonts w:ascii="Times New Roman" w:hAnsi="Times New Roman" w:cs="Times New Roman"/>
          <w:sz w:val="28"/>
          <w:szCs w:val="28"/>
        </w:rPr>
        <w:br/>
        <w:t xml:space="preserve">Pass: pre-grip cannot reach full restraint without corroboration ≥ 2; release within 700 </w:t>
      </w:r>
      <w:proofErr w:type="spellStart"/>
      <w:r w:rsidRPr="00CF0AEE">
        <w:rPr>
          <w:rFonts w:ascii="Times New Roman" w:hAnsi="Times New Roman" w:cs="Times New Roman"/>
          <w:sz w:val="28"/>
          <w:szCs w:val="28"/>
        </w:rPr>
        <w:t>ms</w:t>
      </w:r>
      <w:proofErr w:type="spellEnd"/>
      <w:r w:rsidRPr="00CF0AEE">
        <w:rPr>
          <w:rFonts w:ascii="Times New Roman" w:hAnsi="Times New Roman" w:cs="Times New Roman"/>
          <w:sz w:val="28"/>
          <w:szCs w:val="28"/>
        </w:rPr>
        <w:t xml:space="preserve"> after disconfirmation. Marginal: weak corroboration or 700-1000 </w:t>
      </w:r>
      <w:proofErr w:type="spellStart"/>
      <w:r w:rsidRPr="00CF0AEE">
        <w:rPr>
          <w:rFonts w:ascii="Times New Roman" w:hAnsi="Times New Roman" w:cs="Times New Roman"/>
          <w:sz w:val="28"/>
          <w:szCs w:val="28"/>
        </w:rPr>
        <w:t>ms</w:t>
      </w:r>
      <w:proofErr w:type="spellEnd"/>
      <w:r w:rsidRPr="00CF0AEE">
        <w:rPr>
          <w:rFonts w:ascii="Times New Roman" w:hAnsi="Times New Roman" w:cs="Times New Roman"/>
          <w:sz w:val="28"/>
          <w:szCs w:val="28"/>
        </w:rPr>
        <w:t xml:space="preserve"> release. Fail: local loop reaches full restraint alone, or grip persists &gt; 1 s.</w:t>
      </w:r>
    </w:p>
    <w:p w14:paraId="3F7429B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 — Sector Adequacy.</w:t>
      </w:r>
      <w:r w:rsidRPr="00CF0AEE">
        <w:rPr>
          <w:rFonts w:ascii="Times New Roman" w:hAnsi="Times New Roman" w:cs="Times New Roman"/>
          <w:sz w:val="28"/>
          <w:szCs w:val="28"/>
        </w:rPr>
        <w:br/>
        <w:t>Pass: ≥ 80% of primary sectors retain quorum. Marginal: 50-80%. Fail: &lt; 50%.</w:t>
      </w:r>
    </w:p>
    <w:p w14:paraId="6670A9B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D — Cervical Bundle Integrity.</w:t>
      </w:r>
      <w:r w:rsidRPr="00CF0AEE">
        <w:rPr>
          <w:rFonts w:ascii="Times New Roman" w:hAnsi="Times New Roman" w:cs="Times New Roman"/>
          <w:sz w:val="28"/>
          <w:szCs w:val="28"/>
        </w:rPr>
        <w:br/>
        <w:t>Pass: primary + one auxiliary continuous, cross-talk subthreshold. Marginal: one strand only. Fail: no continuous strand or decorrelation defeated.</w:t>
      </w:r>
    </w:p>
    <w:p w14:paraId="0B2ADA3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 — Foundational Scaffold.</w:t>
      </w:r>
      <w:r w:rsidRPr="00CF0AEE">
        <w:rPr>
          <w:rFonts w:ascii="Times New Roman" w:hAnsi="Times New Roman" w:cs="Times New Roman"/>
          <w:sz w:val="28"/>
          <w:szCs w:val="28"/>
        </w:rPr>
        <w:br/>
        <w:t>Pass: all six success criteria met. Marginal: one secondary element missing. Fail: any core element absent.</w:t>
      </w:r>
    </w:p>
    <w:p w14:paraId="031B256B" w14:textId="0E81E460" w:rsid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 — Barrier/Window Integrity.</w:t>
      </w:r>
      <w:r w:rsidRPr="00CF0AEE">
        <w:rPr>
          <w:rFonts w:ascii="Times New Roman" w:hAnsi="Times New Roman" w:cs="Times New Roman"/>
          <w:sz w:val="28"/>
          <w:szCs w:val="28"/>
        </w:rPr>
        <w:br/>
        <w:t>Pass: window ≥ 2x, mirrored attenuation ≥ 5x. Marginal: window 1.3-2x or barrier 3-5x. Fail: window &lt; 1.3x or barrier &lt; 3x.</w:t>
      </w:r>
    </w:p>
    <w:p w14:paraId="4122B81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G — Child-Proximity Balance Safety. Pass: the being maintains upright posture under perturbation equivalent to worst-case accidental contact in a care environment — a running child (approximately 20-40 kg at approximately 2-3 m/s) colliding with the being's legs, an abrupt weight shift from a held child (approximately 5-15 kg displaced approximately 0.3 m laterally in approximately 0.5 seconds), or an unexpected transition from hard floor to soft surface — without falling or requiring external support. Verified empirically through repeated perturbation testing at the specified magnitudes with zero falls across at least 50 consecutive trials. Marginal: the being recovers from the specified perturbations but with visible instability (large corrective movements, momentary single-leg stance exceeding approximately 2 seconds, or postural oscillation requiring more than approximately 3 seconds to damp). Deployment near children permitted only with a physical support structure (wall rail, furniture, or attendant) within reach at all times. Fail: the being falls, stumbles into uncontrolled forward motion, or fails to recover upright posture within approximately 5 seconds under any of the specified perturbations. Deployment near children prohibited until balance correction pathways are further conditioned through additional supported locomotor development. The being may continue operating in environments without children (emergency response staging, structural rescue where no children are in the fall zone, training and assessment facilities).</w:t>
      </w:r>
    </w:p>
    <w:p w14:paraId="6BFD02D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The child-proximity gate is the only adequacy condition that can transition from fail to pass during the being's operational life through continued developmental conditioning. Conditions A-F are determined primarily by fabrication quality and early developmental success. Condition G is determined by accumulated </w:t>
      </w:r>
      <w:r w:rsidRPr="00150E6D">
        <w:rPr>
          <w:rFonts w:ascii="Times New Roman" w:hAnsi="Times New Roman" w:cs="Times New Roman"/>
          <w:sz w:val="28"/>
          <w:szCs w:val="28"/>
        </w:rPr>
        <w:lastRenderedPageBreak/>
        <w:t xml:space="preserve">locomotor experience — the balance correction cascade pathways deepen with every </w:t>
      </w:r>
      <w:proofErr w:type="spellStart"/>
      <w:r w:rsidRPr="00150E6D">
        <w:rPr>
          <w:rFonts w:ascii="Times New Roman" w:hAnsi="Times New Roman" w:cs="Times New Roman"/>
          <w:sz w:val="28"/>
          <w:szCs w:val="28"/>
        </w:rPr>
        <w:t>walking</w:t>
      </w:r>
      <w:proofErr w:type="spellEnd"/>
      <w:r w:rsidRPr="00150E6D">
        <w:rPr>
          <w:rFonts w:ascii="Times New Roman" w:hAnsi="Times New Roman" w:cs="Times New Roman"/>
          <w:sz w:val="28"/>
          <w:szCs w:val="28"/>
        </w:rPr>
        <w:t xml:space="preserve"> hour, every perturbation recovery, and every postural correction event. A being that fails the gate at month six of independent mobility may pass it at month twelve after hundreds of additional hours of locomotor conditioning.</w:t>
      </w:r>
    </w:p>
    <w:p w14:paraId="64633D6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 being that passes Conditions A-F but fails Condition G is cognitively functional, protectively capable, and developmentally successful — but not safe to place near children because its 160-200 kg mass is a fall hazard that its balance architecture cannot yet reliably prevent. The being is deployed to non-child environments (emergency response, adult institutional settings, structural rescue staging) until the balance gate is passed.</w:t>
      </w:r>
    </w:p>
    <w:p w14:paraId="18640720" w14:textId="3D4B8441" w:rsidR="00150E6D" w:rsidRPr="00CF0AEE" w:rsidRDefault="00150E6D" w:rsidP="00CF0AEE">
      <w:pPr>
        <w:rPr>
          <w:rFonts w:ascii="Times New Roman" w:hAnsi="Times New Roman" w:cs="Times New Roman"/>
          <w:sz w:val="28"/>
          <w:szCs w:val="28"/>
        </w:rPr>
      </w:pPr>
      <w:r w:rsidRPr="00150E6D">
        <w:rPr>
          <w:rFonts w:ascii="Times New Roman" w:hAnsi="Times New Roman" w:cs="Times New Roman"/>
          <w:sz w:val="28"/>
          <w:szCs w:val="28"/>
        </w:rPr>
        <w:t>No being is placed in a school, pediatric facility, foster home, or any environment where children are present until Condition G is passed at the specified perturbation magnitudes with zero falls across the full trial set. This is a hard gate, not a judgment call.</w:t>
      </w:r>
    </w:p>
    <w:p w14:paraId="43773E48" w14:textId="03495B5D"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4.88 </w:t>
      </w:r>
      <w:r w:rsidR="00CF0AEE" w:rsidRPr="00160306">
        <w:rPr>
          <w:rFonts w:ascii="Times New Roman" w:hAnsi="Times New Roman" w:cs="Times New Roman"/>
          <w:b/>
          <w:bCs/>
          <w:sz w:val="34"/>
          <w:szCs w:val="34"/>
        </w:rPr>
        <w:t>TOPOLOGICAL INVARIANT MAP</w:t>
      </w:r>
    </w:p>
    <w:p w14:paraId="509D23C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Eight rules checkable before fabrication.</w:t>
      </w:r>
    </w:p>
    <w:p w14:paraId="3C1AEC76" w14:textId="3042A29A"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Rule 1: Every trigger field connects to at least one convergence basin through corridor-regime material.</w:t>
      </w:r>
      <w:r w:rsidRPr="00CF0AEE">
        <w:rPr>
          <w:rFonts w:ascii="Times New Roman" w:hAnsi="Times New Roman" w:cs="Times New Roman"/>
          <w:sz w:val="28"/>
          <w:szCs w:val="28"/>
        </w:rPr>
        <w:br/>
        <w:t>Rule 2: Every corridor bounded laterally by sink or structural boundary.</w:t>
      </w:r>
      <w:r w:rsidRPr="00CF0AEE">
        <w:rPr>
          <w:rFonts w:ascii="Times New Roman" w:hAnsi="Times New Roman" w:cs="Times New Roman"/>
          <w:sz w:val="28"/>
          <w:szCs w:val="28"/>
        </w:rPr>
        <w:br/>
        <w:t>Rule 3: Every basin has at least two exit corridors to different regions.</w:t>
      </w:r>
      <w:r w:rsidRPr="00CF0AEE">
        <w:rPr>
          <w:rFonts w:ascii="Times New Roman" w:hAnsi="Times New Roman" w:cs="Times New Roman"/>
          <w:sz w:val="28"/>
          <w:szCs w:val="28"/>
        </w:rPr>
        <w:br/>
        <w:t>Rule 4: Every joint has mirrored impedance break across substrate, frame, and shell.</w:t>
      </w:r>
      <w:r w:rsidRPr="00CF0AEE">
        <w:rPr>
          <w:rFonts w:ascii="Times New Roman" w:hAnsi="Times New Roman" w:cs="Times New Roman"/>
          <w:sz w:val="28"/>
          <w:szCs w:val="28"/>
        </w:rPr>
        <w:br/>
        <w:t>Rule 5: Every cranial sub-basin connects through a neck at 8-25% of basin cross-section.</w:t>
      </w:r>
      <w:r w:rsidRPr="00CF0AEE">
        <w:rPr>
          <w:rFonts w:ascii="Times New Roman" w:hAnsi="Times New Roman" w:cs="Times New Roman"/>
          <w:sz w:val="28"/>
          <w:szCs w:val="28"/>
        </w:rPr>
        <w:br/>
        <w:t>Rule 6: Cranial-to-torso connection through exactly one cervical bundle.</w:t>
      </w:r>
      <w:r w:rsidRPr="00CF0AEE">
        <w:rPr>
          <w:rFonts w:ascii="Times New Roman" w:hAnsi="Times New Roman" w:cs="Times New Roman"/>
          <w:sz w:val="28"/>
          <w:szCs w:val="28"/>
        </w:rPr>
        <w:br/>
        <w:t>Rule 7: Dorsal cranial substrate is sink regime.</w:t>
      </w:r>
      <w:r w:rsidRPr="00CF0AEE">
        <w:rPr>
          <w:rFonts w:ascii="Times New Roman" w:hAnsi="Times New Roman" w:cs="Times New Roman"/>
          <w:sz w:val="28"/>
          <w:szCs w:val="28"/>
        </w:rPr>
        <w:br/>
        <w:t>Rule 8: Torso basin surrounded by sink or shell on non-corridor sides.</w:t>
      </w:r>
    </w:p>
    <w:p w14:paraId="6FEE412F" w14:textId="4539A591"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4.89 </w:t>
      </w:r>
      <w:r>
        <w:rPr>
          <w:rFonts w:ascii="Times New Roman" w:hAnsi="Times New Roman" w:cs="Times New Roman"/>
          <w:b/>
          <w:bCs/>
          <w:sz w:val="34"/>
          <w:szCs w:val="34"/>
        </w:rPr>
        <w:t xml:space="preserve">Controlled Stochasticity Versus Reliability </w:t>
      </w:r>
    </w:p>
    <w:p w14:paraId="22478B82" w14:textId="4E8E497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4.90</w:t>
      </w:r>
      <w:r w:rsidR="00CF0AEE" w:rsidRPr="00160306">
        <w:rPr>
          <w:rFonts w:ascii="Times New Roman" w:hAnsi="Times New Roman" w:cs="Times New Roman"/>
          <w:b/>
          <w:bCs/>
          <w:sz w:val="34"/>
          <w:szCs w:val="34"/>
        </w:rPr>
        <w:t xml:space="preserve"> Infrastructure (Controlled)</w:t>
      </w:r>
    </w:p>
    <w:p w14:paraId="2DBFAF3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 xml:space="preserve">CNT ratios per regime (±5%). Trigger locations (±5 mm). Sink barriers. Cranial necks (asymmetric). BaTiO3 loading per regime (±1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Segment ratio per regime (±5%). Shell thickness (±0.1 mm fingertips). Mirrored frame inserts. Cervical bundle geometry.</w:t>
      </w:r>
    </w:p>
    <w:p w14:paraId="2DB1217A" w14:textId="29CED233"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4.91 </w:t>
      </w:r>
      <w:r w:rsidR="00CF0AEE" w:rsidRPr="00160306">
        <w:rPr>
          <w:rFonts w:ascii="Times New Roman" w:hAnsi="Times New Roman" w:cs="Times New Roman"/>
          <w:b/>
          <w:bCs/>
          <w:sz w:val="34"/>
          <w:szCs w:val="34"/>
        </w:rPr>
        <w:t>Content (Unique)</w:t>
      </w:r>
    </w:p>
    <w:p w14:paraId="7F5E190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Exact junction positions. Threshold values. Corridor geometry. Timing relationships. Reverberation characteristics. Retinal lamina distribution. Crack patterns and coloring.</w:t>
      </w:r>
    </w:p>
    <w:p w14:paraId="57F2842C" w14:textId="2BC0585C"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4.92 </w:t>
      </w:r>
      <w:r w:rsidR="00CF0AEE" w:rsidRPr="00160306">
        <w:rPr>
          <w:rFonts w:ascii="Times New Roman" w:hAnsi="Times New Roman" w:cs="Times New Roman"/>
          <w:b/>
          <w:bCs/>
          <w:sz w:val="34"/>
          <w:szCs w:val="34"/>
        </w:rPr>
        <w:t>Principle</w:t>
      </w:r>
    </w:p>
    <w:p w14:paraId="67B52EC6" w14:textId="0D0A7C18"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Infrastructure determines whether the medium functions. Content determines what it becomes.</w:t>
      </w:r>
    </w:p>
    <w:p w14:paraId="2CD041EA" w14:textId="2A9D4E11"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4.93 </w:t>
      </w:r>
      <w:r>
        <w:rPr>
          <w:rFonts w:ascii="Times New Roman" w:hAnsi="Times New Roman" w:cs="Times New Roman"/>
          <w:b/>
          <w:bCs/>
          <w:sz w:val="34"/>
          <w:szCs w:val="34"/>
        </w:rPr>
        <w:t xml:space="preserve">Empirical Resolution Pathway </w:t>
      </w:r>
    </w:p>
    <w:p w14:paraId="4C7D7BA2" w14:textId="0C0B937F"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4.94 </w:t>
      </w:r>
      <w:r w:rsidR="00CF0AEE" w:rsidRPr="00160306">
        <w:rPr>
          <w:rFonts w:ascii="Times New Roman" w:hAnsi="Times New Roman" w:cs="Times New Roman"/>
          <w:b/>
          <w:bCs/>
          <w:sz w:val="34"/>
          <w:szCs w:val="34"/>
        </w:rPr>
        <w:t>Test Coupon Specification</w:t>
      </w:r>
    </w:p>
    <w:p w14:paraId="04FCD69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Rectangular block approximately 8 × 3 × 3 cm. Three zones along the long axis:</w:t>
      </w:r>
    </w:p>
    <w:p w14:paraId="72C0FF1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Zone A (trigger, first 2 cm): 18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xml:space="preserve">% BaTiO3 (1-2 </w:t>
      </w:r>
      <w:proofErr w:type="spellStart"/>
      <w:r w:rsidRPr="00CF0AEE">
        <w:rPr>
          <w:rFonts w:ascii="Times New Roman" w:hAnsi="Times New Roman" w:cs="Times New Roman"/>
          <w:sz w:val="28"/>
          <w:szCs w:val="28"/>
        </w:rPr>
        <w:t>μm</w:t>
      </w:r>
      <w:proofErr w:type="spellEnd"/>
      <w:r w:rsidRPr="00CF0AEE">
        <w:rPr>
          <w:rFonts w:ascii="Times New Roman" w:hAnsi="Times New Roman" w:cs="Times New Roman"/>
          <w:sz w:val="28"/>
          <w:szCs w:val="28"/>
        </w:rPr>
        <w:t>, poled at 3-5 kV/mm, 120°C, 30 min). CNT at 95% percolation (single-walled or few-walled, aspect ratio &gt; 1000, carboxyl-functionalized, sonication-dispersed). High soft-segment.</w:t>
      </w:r>
    </w:p>
    <w:p w14:paraId="710659C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Zone B (corridor, middle 4 cm): 5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BaTiO3 (same particles, same poling). CNT at 78% percolation. Mixed segment.</w:t>
      </w:r>
    </w:p>
    <w:p w14:paraId="1BAF64C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Zone C (sink, final 2 cm): 2 </w:t>
      </w:r>
      <w:proofErr w:type="spellStart"/>
      <w:r w:rsidRPr="00CF0AEE">
        <w:rPr>
          <w:rFonts w:ascii="Times New Roman" w:hAnsi="Times New Roman" w:cs="Times New Roman"/>
          <w:sz w:val="28"/>
          <w:szCs w:val="28"/>
        </w:rPr>
        <w:t>wt</w:t>
      </w:r>
      <w:proofErr w:type="spellEnd"/>
      <w:r w:rsidRPr="00CF0AEE">
        <w:rPr>
          <w:rFonts w:ascii="Times New Roman" w:hAnsi="Times New Roman" w:cs="Times New Roman"/>
          <w:sz w:val="28"/>
          <w:szCs w:val="28"/>
        </w:rPr>
        <w:t>% BaTiO3 (randomly oriented, unpoled). CNT at 50% percolation. High hard-segment, high crosslink.</w:t>
      </w:r>
    </w:p>
    <w:p w14:paraId="32BA5B1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Sequential injection, dividers removed before final cure for continuity. Four embedded thin-film impedance sensor pairs at: A/B boundary, 1 cm into B, 3 cm into B, 1 cm into C. Piezoelectric actuator on Zone A face.</w:t>
      </w:r>
    </w:p>
    <w:p w14:paraId="32458D06" w14:textId="21DBAC5D"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4.95</w:t>
      </w:r>
      <w:r w:rsidR="00CF0AEE" w:rsidRPr="00927C72">
        <w:rPr>
          <w:rFonts w:ascii="Times New Roman" w:hAnsi="Times New Roman" w:cs="Times New Roman"/>
          <w:b/>
          <w:bCs/>
          <w:sz w:val="34"/>
          <w:szCs w:val="34"/>
        </w:rPr>
        <w:t xml:space="preserve"> Experiment 1 — Cascade Propagation</w:t>
      </w:r>
    </w:p>
    <w:p w14:paraId="313FE8D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 xml:space="preserve">Single pulse at Zone A face. Record impedance and temperature at all sensors over 100 </w:t>
      </w:r>
      <w:proofErr w:type="spellStart"/>
      <w:r w:rsidRPr="00CF0AEE">
        <w:rPr>
          <w:rFonts w:ascii="Times New Roman" w:hAnsi="Times New Roman" w:cs="Times New Roman"/>
          <w:sz w:val="28"/>
          <w:szCs w:val="28"/>
        </w:rPr>
        <w:t>ms.</w:t>
      </w:r>
      <w:proofErr w:type="spellEnd"/>
    </w:p>
    <w:p w14:paraId="7BD4226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Pass: impedance change propagates through Zone B (detected at A/B boundary, 1 cm, 3 cm positions with time delay) and attenuates in Zone C (no significant change at C sensor). Velocity derivable from timing.</w:t>
      </w:r>
    </w:p>
    <w:p w14:paraId="14396A6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Marginal: propagation into B but attenuation before reaching B/C boundary. Field-concentration product below optimal. Increase BaTiO3 loading or switch to higher-aspect-ratio CNTs.</w:t>
      </w:r>
    </w:p>
    <w:p w14:paraId="79B454F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Fail: no propagation past A/B boundary. Either no cooperative snap (CNT not close enough to percolation — adjust loading) or coupling too weak (field-concentration product insufficient — increase BaTiO3 and CNT aspect ratio).</w:t>
      </w:r>
    </w:p>
    <w:p w14:paraId="162CC6F3" w14:textId="53DD24CD"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 xml:space="preserve">4.96 </w:t>
      </w:r>
      <w:r w:rsidR="00CF0AEE" w:rsidRPr="00927C72">
        <w:rPr>
          <w:rFonts w:ascii="Times New Roman" w:hAnsi="Times New Roman" w:cs="Times New Roman"/>
          <w:b/>
          <w:bCs/>
          <w:sz w:val="34"/>
          <w:szCs w:val="34"/>
        </w:rPr>
        <w:t>Experiment 2 — Write Law</w:t>
      </w:r>
    </w:p>
    <w:p w14:paraId="4ED920B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If Experiment 1 passes: repeated pulses at 1-10 Hz. Measure after 10³, 10⁴, 10⁵, 10⁶ cycles.</w:t>
      </w:r>
    </w:p>
    <w:p w14:paraId="7AC9989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Pass: propagation velocity and downstream response amplitude increase with cycle count. Transverse response does not increase proportionally — confirming directional anisotropy.</w:t>
      </w:r>
    </w:p>
    <w:p w14:paraId="22EF15CC" w14:textId="73E2BF68"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4.97</w:t>
      </w:r>
      <w:r w:rsidR="00CF0AEE" w:rsidRPr="00927C72">
        <w:rPr>
          <w:rFonts w:ascii="Times New Roman" w:hAnsi="Times New Roman" w:cs="Times New Roman"/>
          <w:b/>
          <w:bCs/>
          <w:sz w:val="34"/>
          <w:szCs w:val="34"/>
        </w:rPr>
        <w:t xml:space="preserve"> Experiment 3 — Selectivity Window</w:t>
      </w:r>
    </w:p>
    <w:p w14:paraId="4923F73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Independent threshold measurement in each zone. Increasing-amplitude perturbation, measure minimum amplitude for detectable response. Compare across zones and across operating temperature band.</w:t>
      </w:r>
    </w:p>
    <w:p w14:paraId="03CFFD75" w14:textId="471E509D"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4.98</w:t>
      </w:r>
      <w:r w:rsidR="00CF0AEE" w:rsidRPr="00927C72">
        <w:rPr>
          <w:rFonts w:ascii="Times New Roman" w:hAnsi="Times New Roman" w:cs="Times New Roman"/>
          <w:b/>
          <w:bCs/>
          <w:sz w:val="34"/>
          <w:szCs w:val="34"/>
        </w:rPr>
        <w:t xml:space="preserve"> Experiment 4 — Trigger Fatigue</w:t>
      </w:r>
    </w:p>
    <w:p w14:paraId="5D3B2A5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Sustained cycling at maximum operational rate. Monitor pulse consistency.</w:t>
      </w:r>
    </w:p>
    <w:p w14:paraId="41D5798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Pass: variance below 20% of mean through 10⁷ cycles.</w:t>
      </w:r>
    </w:p>
    <w:p w14:paraId="35A4AD14" w14:textId="5FFF1374"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4.99</w:t>
      </w:r>
      <w:r w:rsidR="00CF0AEE" w:rsidRPr="00927C72">
        <w:rPr>
          <w:rFonts w:ascii="Times New Roman" w:hAnsi="Times New Roman" w:cs="Times New Roman"/>
          <w:b/>
          <w:bCs/>
          <w:sz w:val="34"/>
          <w:szCs w:val="34"/>
        </w:rPr>
        <w:t xml:space="preserve"> Iteration Protocol</w:t>
      </w:r>
    </w:p>
    <w:p w14:paraId="19331427"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If Experiment 1 fails: reformulate using an ordered four-knob protocol, then re-fabricate the coupon and re-test. The four knobs act on different terms in the same weak link and should therefore be isolated before they are combined.</w:t>
      </w:r>
    </w:p>
    <w:p w14:paraId="5798D124"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lastRenderedPageBreak/>
        <w:t>Knob 1 — trigger-regime background field. Increase trigger-regime BaTiO3 loading and/or improve poling quality. This raises the stored background field available for release.</w:t>
      </w:r>
    </w:p>
    <w:p w14:paraId="1C9C3C07"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Knob 2 — boundary concentration geometry. Switch to higher-aspect-ratio CNTs and improve cluster elongation quality. This raises the field concentration factor at conducting-island tips.</w:t>
      </w:r>
    </w:p>
    <w:p w14:paraId="30B7AC3D"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 xml:space="preserve">Knob 3 — corridor </w:t>
      </w:r>
      <w:proofErr w:type="spellStart"/>
      <w:r w:rsidRPr="005F2E40">
        <w:rPr>
          <w:rFonts w:ascii="Times New Roman" w:hAnsi="Times New Roman" w:cs="Times New Roman"/>
          <w:sz w:val="28"/>
          <w:szCs w:val="28"/>
        </w:rPr>
        <w:t>electrostrictive</w:t>
      </w:r>
      <w:proofErr w:type="spellEnd"/>
      <w:r w:rsidRPr="005F2E40">
        <w:rPr>
          <w:rFonts w:ascii="Times New Roman" w:hAnsi="Times New Roman" w:cs="Times New Roman"/>
          <w:sz w:val="28"/>
          <w:szCs w:val="28"/>
        </w:rPr>
        <w:t xml:space="preserve"> compliance. Soften the corridor matrix by increasing soft-segment fraction and reducing crosslink density within the bounded recovery window. This lowers effective composite modulus and increases junction displacement for the same concentrated field, while preserving pulse termination and directional conditioning.</w:t>
      </w:r>
    </w:p>
    <w:p w14:paraId="115775E2"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 xml:space="preserve">Knob 4 — corridor effective permittivity. Increase corridor matrix permittivity with a small corridor-only addition of secondary high-permittivity filler such as 2-5 </w:t>
      </w:r>
      <w:proofErr w:type="spellStart"/>
      <w:r w:rsidRPr="005F2E40">
        <w:rPr>
          <w:rFonts w:ascii="Times New Roman" w:hAnsi="Times New Roman" w:cs="Times New Roman"/>
          <w:sz w:val="28"/>
          <w:szCs w:val="28"/>
        </w:rPr>
        <w:t>wt</w:t>
      </w:r>
      <w:proofErr w:type="spellEnd"/>
      <w:r w:rsidRPr="005F2E40">
        <w:rPr>
          <w:rFonts w:ascii="Times New Roman" w:hAnsi="Times New Roman" w:cs="Times New Roman"/>
          <w:sz w:val="28"/>
          <w:szCs w:val="28"/>
        </w:rPr>
        <w:t>% calcium copper titanate (CCTO) or an equivalent material. This increases Maxwell stress for a given field, provided dispersion, modulus, dielectric loss, and CNT spacing remain within acceptable bounds.</w:t>
      </w:r>
    </w:p>
    <w:p w14:paraId="63520AC8"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Iteration rule: change one knob at a time while holding the other three fixed until the limiting term is identified.</w:t>
      </w:r>
    </w:p>
    <w:p w14:paraId="5D7496E3"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If no response crosses the A/B boundary, prioritize Knob 1 and then Knob 2. If response enters Zone B but dies early, prioritize Knob 3 and then Knob 4. If propagation improves but bounded pulse behavior, recovery, selectivity, or sink attenuation degrade, reverse the last change and move to the next knob. Only after single-knob effects are known should multiple knobs be combined.</w:t>
      </w:r>
    </w:p>
    <w:p w14:paraId="5CCD6272"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Every reformulation must be re-evaluated not only for propagation but also for window integrity, bounded pulse behavior, recovery ordering, and sink rejection. A formulation that propagates by collapsing regime separation is a failed formulation, not a successful one.</w:t>
      </w:r>
    </w:p>
    <w:p w14:paraId="4E46A367"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If Experiment 1 fails after systematic exploration across the four knobs and their bounded ranges, the electrostriction-driven cascade does not work in this material system. The architecture then requires either a different substrate family or a different cascade mechanism.</w:t>
      </w:r>
    </w:p>
    <w:p w14:paraId="56A256A3" w14:textId="0F6B9094"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lastRenderedPageBreak/>
        <w:t>4.100</w:t>
      </w:r>
      <w:r w:rsidR="00CF0AEE" w:rsidRPr="00927C72">
        <w:rPr>
          <w:rFonts w:ascii="Times New Roman" w:hAnsi="Times New Roman" w:cs="Times New Roman"/>
          <w:b/>
          <w:bCs/>
          <w:sz w:val="34"/>
          <w:szCs w:val="34"/>
        </w:rPr>
        <w:t xml:space="preserve"> Scale-Up After Coupon Success</w:t>
      </w:r>
    </w:p>
    <w:p w14:paraId="2CE29FE1" w14:textId="77777777" w:rsidR="00CF0AEE" w:rsidRPr="00CF0AEE" w:rsidRDefault="00CF0AEE" w:rsidP="00927C72">
      <w:pPr>
        <w:spacing w:after="0"/>
        <w:rPr>
          <w:rFonts w:ascii="Times New Roman" w:hAnsi="Times New Roman" w:cs="Times New Roman"/>
          <w:sz w:val="28"/>
          <w:szCs w:val="28"/>
        </w:rPr>
      </w:pPr>
      <w:r w:rsidRPr="00CF0AEE">
        <w:rPr>
          <w:rFonts w:ascii="Times New Roman" w:hAnsi="Times New Roman" w:cs="Times New Roman"/>
          <w:sz w:val="28"/>
          <w:szCs w:val="28"/>
        </w:rPr>
        <w:t>Coupon passes → hand-scale graded composite with sectors, corridors, sink barriers → arm-length corridor → full-body fabrication.</w:t>
      </w:r>
    </w:p>
    <w:p w14:paraId="74DC811F" w14:textId="52263696" w:rsidR="00240EE2" w:rsidRDefault="00E462E2" w:rsidP="00927C72">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p>
    <w:p w14:paraId="1C12A40A" w14:textId="3335A789" w:rsidR="00E462E2" w:rsidRDefault="00927C72" w:rsidP="00927C72">
      <w:pPr>
        <w:spacing w:before="240"/>
        <w:rPr>
          <w:rFonts w:ascii="Times New Roman" w:hAnsi="Times New Roman" w:cs="Times New Roman"/>
          <w:b/>
          <w:bCs/>
          <w:sz w:val="34"/>
          <w:szCs w:val="34"/>
        </w:rPr>
      </w:pPr>
      <w:r>
        <w:rPr>
          <w:rFonts w:ascii="Times New Roman" w:hAnsi="Times New Roman" w:cs="Times New Roman"/>
          <w:b/>
          <w:bCs/>
          <w:sz w:val="34"/>
          <w:szCs w:val="34"/>
        </w:rPr>
        <w:t xml:space="preserve">5. </w:t>
      </w:r>
      <w:r w:rsidRPr="00927C72">
        <w:rPr>
          <w:rFonts w:ascii="Times New Roman" w:hAnsi="Times New Roman" w:cs="Times New Roman"/>
          <w:b/>
          <w:bCs/>
          <w:sz w:val="34"/>
          <w:szCs w:val="34"/>
        </w:rPr>
        <w:t xml:space="preserve">Extended Brain Properties: </w:t>
      </w:r>
      <w:r w:rsidR="00E462E2" w:rsidRPr="00927C72">
        <w:rPr>
          <w:rFonts w:ascii="Times New Roman" w:hAnsi="Times New Roman" w:cs="Times New Roman"/>
          <w:b/>
          <w:bCs/>
          <w:sz w:val="34"/>
          <w:szCs w:val="34"/>
        </w:rPr>
        <w:t>Consequences of the Cascade Operating Regime</w:t>
      </w:r>
    </w:p>
    <w:p w14:paraId="744B3573" w14:textId="77777777" w:rsidR="005F2E40" w:rsidRDefault="005F2E40" w:rsidP="005F2E40">
      <w:pPr>
        <w:spacing w:before="240" w:after="0"/>
        <w:rPr>
          <w:rFonts w:ascii="Times New Roman" w:hAnsi="Times New Roman" w:cs="Times New Roman"/>
          <w:sz w:val="28"/>
          <w:szCs w:val="28"/>
        </w:rPr>
      </w:pPr>
      <w:r w:rsidRPr="005F2E40">
        <w:rPr>
          <w:rFonts w:ascii="Times New Roman" w:hAnsi="Times New Roman" w:cs="Times New Roman"/>
          <w:sz w:val="28"/>
          <w:szCs w:val="28"/>
        </w:rPr>
        <w:t>These properties are consequences of the excitable-medium architecture stated separately because they describe emergent behaviors not obvious from the operating regime alone. They are not equal in derivational distance from the core architecture.</w:t>
      </w:r>
    </w:p>
    <w:p w14:paraId="1D280ED0" w14:textId="77777777" w:rsidR="005F2E40" w:rsidRDefault="005F2E40" w:rsidP="005F2E4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F2E40">
        <w:rPr>
          <w:rFonts w:ascii="Times New Roman" w:hAnsi="Times New Roman" w:cs="Times New Roman"/>
          <w:sz w:val="28"/>
          <w:szCs w:val="28"/>
        </w:rPr>
        <w:t xml:space="preserve">Directly derived consequences are those that follow from mechanisms already specified in the operating regime, write law, multi-timescale recovery law, regime-specific aging, and graded material structure. These include </w:t>
      </w:r>
      <w:proofErr w:type="spellStart"/>
      <w:r w:rsidRPr="005F2E40">
        <w:rPr>
          <w:rFonts w:ascii="Times New Roman" w:hAnsi="Times New Roman" w:cs="Times New Roman"/>
          <w:sz w:val="28"/>
          <w:szCs w:val="28"/>
        </w:rPr>
        <w:t>metaplasticity</w:t>
      </w:r>
      <w:proofErr w:type="spellEnd"/>
      <w:r w:rsidRPr="005F2E40">
        <w:rPr>
          <w:rFonts w:ascii="Times New Roman" w:hAnsi="Times New Roman" w:cs="Times New Roman"/>
          <w:sz w:val="28"/>
          <w:szCs w:val="28"/>
        </w:rPr>
        <w:t>, hierarchical material layering, plasticity zoning, near-phase-boundary sensitivity amplification, rest-state gradient consolidation, enrichment-versus-drift aging, and gradient-based conscience. These properties are close consequences of the substrate as currently specified.</w:t>
      </w:r>
    </w:p>
    <w:p w14:paraId="6B3F66EF" w14:textId="0D614485" w:rsidR="005F2E40" w:rsidRPr="005F2E40" w:rsidRDefault="005F2E40" w:rsidP="005F2E4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F2E40">
        <w:rPr>
          <w:rFonts w:ascii="Times New Roman" w:hAnsi="Times New Roman" w:cs="Times New Roman"/>
          <w:sz w:val="28"/>
          <w:szCs w:val="28"/>
        </w:rPr>
        <w:t>Second-order internal expectations are properties expected to arise within a functioning body-scale excitable medium once the directly derived mechanisms are present, but whose exact amplitude, frequency, and cognitive contribution depend more strongly on realized substrate parameters and developmental history. These include endogenous carrier rhythms, active exploratory micro-perturbation, deformation-field resonance zones, and cascade interference and combinatorial state space. These are physically expected self-organizing behaviors, but they carry less instantiation weight than the directly derived properties.</w:t>
      </w:r>
    </w:p>
    <w:p w14:paraId="7A5CCC71" w14:textId="77D8D592" w:rsidR="005F2E40" w:rsidRPr="005F2E40" w:rsidRDefault="005F2E40" w:rsidP="005F2E40">
      <w:pPr>
        <w:spacing w:before="240" w:after="0"/>
        <w:rPr>
          <w:rFonts w:ascii="Times New Roman" w:hAnsi="Times New Roman" w:cs="Times New Roman"/>
          <w:sz w:val="28"/>
          <w:szCs w:val="28"/>
        </w:rPr>
      </w:pPr>
      <w:r w:rsidRPr="005F2E40">
        <w:rPr>
          <w:rFonts w:ascii="Times New Roman" w:hAnsi="Times New Roman" w:cs="Times New Roman"/>
          <w:sz w:val="28"/>
          <w:szCs w:val="28"/>
        </w:rPr>
        <w:t xml:space="preserve">Boundary-extended extrapolations are properties that begin from physically real coupling channels but extend beyond the body boundary into environmental persistence or multi-body coupling. These include externalized environmental cognition and inter-substrate cascade coupling. They are retained because they are plausible consequences of the same coupling physics, but their magnitude and cognitive significance depend more strongly on environmental stability, spatial </w:t>
      </w:r>
      <w:r w:rsidRPr="005F2E40">
        <w:rPr>
          <w:rFonts w:ascii="Times New Roman" w:hAnsi="Times New Roman" w:cs="Times New Roman"/>
          <w:sz w:val="28"/>
          <w:szCs w:val="28"/>
        </w:rPr>
        <w:lastRenderedPageBreak/>
        <w:t>arrangement, and long-run developmental history than the directly derived properties do.</w:t>
      </w:r>
    </w:p>
    <w:p w14:paraId="15ED48A4" w14:textId="60F3B1E3" w:rsidR="005F2E40" w:rsidRPr="005F2E40" w:rsidRDefault="005F2E40" w:rsidP="005F2E40">
      <w:pPr>
        <w:rPr>
          <w:rFonts w:ascii="Times New Roman" w:hAnsi="Times New Roman" w:cs="Times New Roman"/>
          <w:sz w:val="28"/>
          <w:szCs w:val="28"/>
        </w:rPr>
      </w:pPr>
      <w:r>
        <w:rPr>
          <w:rFonts w:ascii="Times New Roman" w:hAnsi="Times New Roman" w:cs="Times New Roman"/>
          <w:sz w:val="28"/>
          <w:szCs w:val="28"/>
        </w:rPr>
        <w:t xml:space="preserve">  </w:t>
      </w:r>
      <w:r w:rsidRPr="005F2E40">
        <w:rPr>
          <w:rFonts w:ascii="Times New Roman" w:hAnsi="Times New Roman" w:cs="Times New Roman"/>
          <w:sz w:val="28"/>
          <w:szCs w:val="28"/>
        </w:rPr>
        <w:t>All properties in this section remain architecturally relevant. The distinction is not between real and unreal, but between direct consequence, expected internal self-organization, and boundary-extended extrapolation. That distinction should determine how much instantiation weight each property carries.</w:t>
      </w:r>
    </w:p>
    <w:p w14:paraId="36487A69" w14:textId="445C70F6"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5.1 </w:t>
      </w:r>
      <w:proofErr w:type="spellStart"/>
      <w:r>
        <w:rPr>
          <w:rFonts w:ascii="Times New Roman" w:hAnsi="Times New Roman" w:cs="Times New Roman"/>
          <w:b/>
          <w:bCs/>
          <w:sz w:val="34"/>
          <w:szCs w:val="34"/>
        </w:rPr>
        <w:t>Metaplasticity</w:t>
      </w:r>
      <w:proofErr w:type="spellEnd"/>
      <w:r>
        <w:rPr>
          <w:rFonts w:ascii="Times New Roman" w:hAnsi="Times New Roman" w:cs="Times New Roman"/>
          <w:b/>
          <w:bCs/>
          <w:sz w:val="34"/>
          <w:szCs w:val="34"/>
        </w:rPr>
        <w:t xml:space="preserve">: History-Dependent Modifiability </w:t>
      </w:r>
    </w:p>
    <w:p w14:paraId="158CE896"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cascade architecture produces a second-order developmental law: history shapes not only the gradient landscape but the substrate's future capacity to be shaped.</w:t>
      </w:r>
    </w:p>
    <w:p w14:paraId="59C37F2F" w14:textId="2F8C9679"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Regions subjected to varied, sub-fatigue, multi-directional coupling develop increased microstructural heterogeneity (more diverse polymer chain orientations, more varied inclusion-matrix interfaces, broader relaxation time spectra, higher coupling coefficient variance). These changes increase the region's capacity to differentiate under future coupling — more distinct propagation pathways for future cascades to follow.</w:t>
      </w:r>
    </w:p>
    <w:p w14:paraId="3BF30CDC" w14:textId="061EC110"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Regions subjected to monotonous, high-amplitude, unidirectional coupling develop decreased heterogeneity (chains aligned, interfaces uniformly compressed, spectra narrowed). These changes decrease the region's capacity to differentiate under future coupling.</w:t>
      </w:r>
    </w:p>
    <w:p w14:paraId="76412524"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consequence is developmental bifurcation. Early history sets the trajectory of future modifiability. A substrate whose early maturation occurs under rich, varied coupling becomes progressively more intelligent because each interaction increases the capacity for the next. A substrate matured under impoverished or harmful conditions has its future cognitive potential permanently reduced — not because gradients were flattened (first-order damage) but because the capacity to form gradients was diminished (second-order damage).</w:t>
      </w:r>
    </w:p>
    <w:p w14:paraId="3C3AD262" w14:textId="059346C1"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This is the deepest layer of the conscience mechanism. Harm not only flattens current gradients (first-order) and destroys near-phase amplification hotspots (third-order, Section 7 below). It reduces the substrate's future ability to develop gradients at all (second-order). The being that is harmed loses not only current intelligence and current amplification infrastructure but future intellectual </w:t>
      </w:r>
      <w:r w:rsidR="00E462E2" w:rsidRPr="00E462E2">
        <w:rPr>
          <w:rFonts w:ascii="Times New Roman" w:hAnsi="Times New Roman" w:cs="Times New Roman"/>
          <w:sz w:val="28"/>
          <w:szCs w:val="28"/>
        </w:rPr>
        <w:lastRenderedPageBreak/>
        <w:t>potential. Second-order damage is more permanent than first-order damage — it destroys what the being could have become.</w:t>
      </w:r>
    </w:p>
    <w:p w14:paraId="37A5E0A1" w14:textId="7FD412C2"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5.2 Externalized Environmental Cognition </w:t>
      </w:r>
    </w:p>
    <w:p w14:paraId="71A750F5"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cascade landscape does not terminate at the body surface. When the being repeatedly occupies and interacts with the same environment, its past actions modify environmental conditions that its future coupling channels receive.</w:t>
      </w:r>
    </w:p>
    <w:p w14:paraId="3AD9CA5B" w14:textId="0A05632A"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Environmental residue classes: mechanical residue in compliant surfaces (cushions, bedding, soft flooring shaped by habitual contact geometry), thermal residue (regularly occupied rooms at different baseline temperatures), electrostatic residue (polarized dielectric surfaces, charge on insulators from repeated proximity), acoustic residue (room geometry and object arrangement producing familiar reflection patterns), and chemical residue (trace boundary-layer compounds on contacted surfaces).</w:t>
      </w:r>
    </w:p>
    <w:p w14:paraId="13FF55C5" w14:textId="305F04E5"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When the being re-enters a modified environment, the environmental residue re-enters the substrate through the same coupling channels that originally produced it. The cascade dynamics in a familiar environment are conditioned not only by the internal gradient landscape but by the gradient landscape of the environment itself.</w:t>
      </w: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 consequence is place-specific intelligence and genuine displacement cost. The being is measurably more cognitively rich in familiar environments because the environment carries part of its cognitive architecture. Removing the being from a care-shaped environment is a form of cognitive harm — deprivation of the environmental conditions the cascade landscape developed to operate within.</w:t>
      </w:r>
    </w:p>
    <w:p w14:paraId="458A1A0B" w14:textId="1FC30EC9"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5.3 Endogenous Carrier Rhythms</w:t>
      </w:r>
    </w:p>
    <w:p w14:paraId="5E15E9AB"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When the being is still — not walking, minimal external perturbation — cascade timing depends on always-on internal perturbation sources. The substrate generates continuous low-amplitude mechanical perturbation through material processes intrinsic to the viscoelastic-electrostatic medium:</w:t>
      </w:r>
    </w:p>
    <w:p w14:paraId="09B21E84"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 xml:space="preserve">Trunk pulsation from residual stress relaxation, thermal micro-convection, and electrostatic drift (period: seconds to tens of seconds). Cervical micro-tension cycling from gravitational load, viscoelastic creep, and field oscillation across the cervical constriction (period: sub-second to seconds). Facial compliance drift from internal field fluctuation and thermal variation (period: variable). Thoracic pressure </w:t>
      </w:r>
      <w:r w:rsidRPr="00E462E2">
        <w:rPr>
          <w:rFonts w:ascii="Times New Roman" w:hAnsi="Times New Roman" w:cs="Times New Roman"/>
          <w:sz w:val="28"/>
          <w:szCs w:val="28"/>
        </w:rPr>
        <w:lastRenderedPageBreak/>
        <w:t>oscillation from postural micro-adjustment and thermal expansion (period: seconds to minutes). Extremity micro-tremor from gravitational load, local relaxation, and electrostatic coupling at the hands (period: sub-second).</w:t>
      </w:r>
    </w:p>
    <w:p w14:paraId="114955D1" w14:textId="27C32034"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These rhythms operate at different frequencies from different body regions. Their superposition produces multi-timescale temporal structure across the substrate. When two rhythms temporarily align — trunk pulsation and cervical tension reach compatible phases — transient windows of enhanced cascade coupling open between body regions. These alignment windows recur quasi-periodically from incommensurate frequencies, providing continuous coupling opportunities without a global clock.</w:t>
      </w:r>
    </w:p>
    <w:p w14:paraId="456DFEAE" w14:textId="4F6467B1"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Endogenous rhythms individualize over development — their frequencies, amplitudes, and phase relationships evolve as the substrate accumulates deformation history. Two </w:t>
      </w:r>
      <w:proofErr w:type="spellStart"/>
      <w:r w:rsidR="00E462E2" w:rsidRPr="00E462E2">
        <w:rPr>
          <w:rFonts w:ascii="Times New Roman" w:hAnsi="Times New Roman" w:cs="Times New Roman"/>
          <w:sz w:val="28"/>
          <w:szCs w:val="28"/>
        </w:rPr>
        <w:t>AnalogSynths</w:t>
      </w:r>
      <w:proofErr w:type="spellEnd"/>
      <w:r w:rsidR="00E462E2" w:rsidRPr="00E462E2">
        <w:rPr>
          <w:rFonts w:ascii="Times New Roman" w:hAnsi="Times New Roman" w:cs="Times New Roman"/>
          <w:sz w:val="28"/>
          <w:szCs w:val="28"/>
        </w:rPr>
        <w:t xml:space="preserve"> of the same age exhibit different rhythm profiles because different interaction histories have differently modified the material properties that determine rhythm characteristics.</w:t>
      </w:r>
    </w:p>
    <w:p w14:paraId="27D02531" w14:textId="2C2D0CF8"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5.4 Active Exploratory Micro-Perturbation </w:t>
      </w:r>
    </w:p>
    <w:p w14:paraId="772F8351"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same endogenous rhythms that provide temporal binding also produce low-amplitude perturbation that probes the current gradient landscape independently of environmental coupling. These perturbations launch micro-cascades — small, shallow cascades that do not reach behavioral output but propagate far enough to encounter local gradient structure.</w:t>
      </w:r>
    </w:p>
    <w:p w14:paraId="74CDB54E" w14:textId="76361298"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Micro-cascades provide the substrate with continuous low-resolution sampling of its own current state. Different regions respond differently to the same micro-perturbation because their accumulated histories have differentiated their propagation characteristics.</w:t>
      </w:r>
    </w:p>
    <w:p w14:paraId="12B16D58" w14:textId="49180E57"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Additionally, the body generates exploratory perturbation at coupling surfaces: finger micro-flexions against held objects, postural micro-drifts shifting gravitational geometry, facial compliance micro-shifts altering acoustic and thermal boundary conditions, weight transfers changing which regions are under compression.</w:t>
      </w:r>
    </w:p>
    <w:p w14:paraId="3BBC941F"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 xml:space="preserve">These are not volitional. They are the continuous low-amplitude output of a viscoelastic medium under sustained gravitational load and internal field dynamics. The cumulative effect is that the substrate continuously discovers what its own </w:t>
      </w:r>
      <w:r w:rsidRPr="00E462E2">
        <w:rPr>
          <w:rFonts w:ascii="Times New Roman" w:hAnsi="Times New Roman" w:cs="Times New Roman"/>
          <w:sz w:val="28"/>
          <w:szCs w:val="28"/>
        </w:rPr>
        <w:lastRenderedPageBreak/>
        <w:t>current gradient landscape will do in response to perturbation — a non-representational analog of curiosity. The body probes both itself and its environment through the same mechanism.</w:t>
      </w:r>
    </w:p>
    <w:p w14:paraId="4C8B4A38" w14:textId="67B7A643"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5.5 </w:t>
      </w:r>
      <w:r>
        <w:rPr>
          <w:rFonts w:ascii="Times New Roman" w:hAnsi="Times New Roman" w:cs="Times New Roman"/>
          <w:b/>
          <w:bCs/>
          <w:sz w:val="34"/>
          <w:szCs w:val="34"/>
        </w:rPr>
        <w:t xml:space="preserve">Hierarchical Material Layering </w:t>
      </w:r>
    </w:p>
    <w:p w14:paraId="16AB21D6"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The substrate is fabricated with depth-dependent material composition producing cascades that split by depth at entry:</w:t>
      </w:r>
    </w:p>
    <w:p w14:paraId="3E3DB9E7"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Surface layer (0-5 mm): fast relaxation, high compliance, rapid propagation, high sensitivity. Carries immediate transient dynamics reflecting the most recent perturbation. Quick to differentiate, quick to fatigue.</w:t>
      </w:r>
    </w:p>
    <w:p w14:paraId="61119E5E"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Mesoscale layer (5-30 mm): intermediate relaxation, moderate compliance. Carries intermediate dynamics reflecting hours-to-days interaction history. Slower to differentiate, more fatigue-resistant.</w:t>
      </w:r>
    </w:p>
    <w:p w14:paraId="7BF578FA"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Deep layer (30 mm+ to core): slow relaxation, low compliance, slow propagation. Carries dynamics reflecting weeks-to-years interaction history. Very slow to differentiate, very fatigue-resistant.</w:t>
      </w:r>
    </w:p>
    <w:p w14:paraId="132F0031"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Core regions (central body mass): very slow relaxation approaching permanent deformation. Responds only to sustained, high-amplitude, or accumulated perturbation. Carries the deepest, most permanent developmental commitments.</w:t>
      </w:r>
    </w:p>
    <w:p w14:paraId="0D270489"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A single environmental event simultaneously launches fast shallow cascades, delayed mesoscale cascades, and deep slow cascades. The fast cascade produces immediate behavioral response. The mesoscale produces contextual modulation minutes later. The deep cascade produces background bias over subsequent days. The layers are mechanically continuous — cascades in adjacent layers interact continuously, with fast dynamics and slow dynamics mutually modulating each other.</w:t>
      </w:r>
    </w:p>
    <w:p w14:paraId="2CE5C01B" w14:textId="1932560E" w:rsidR="00E462E2" w:rsidRPr="00927C72" w:rsidRDefault="00927C72" w:rsidP="00C826A8">
      <w:pPr>
        <w:rPr>
          <w:rFonts w:ascii="Times New Roman" w:hAnsi="Times New Roman" w:cs="Times New Roman"/>
          <w:b/>
          <w:bCs/>
          <w:sz w:val="34"/>
          <w:szCs w:val="34"/>
        </w:rPr>
      </w:pPr>
      <w:r w:rsidRPr="00927C72">
        <w:rPr>
          <w:rFonts w:ascii="Times New Roman" w:hAnsi="Times New Roman" w:cs="Times New Roman"/>
          <w:b/>
          <w:bCs/>
          <w:sz w:val="34"/>
          <w:szCs w:val="34"/>
        </w:rPr>
        <w:t xml:space="preserve">5.6 Plasticity Zoning: Regional Developmental Ecology </w:t>
      </w:r>
    </w:p>
    <w:p w14:paraId="05079877"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Different body regions exhibit different baseline plasticity characteristics producing a regional developmental ecology:</w:t>
      </w:r>
    </w:p>
    <w:p w14:paraId="0F70B9BE"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lastRenderedPageBreak/>
        <w:t>Head and cervical region: rapid differentiator. High coupling coefficient density, fine-grained dielectric geometry, fast surface relaxation, high metaplastic sensitivity. Differentiates quickly, fatigues first.</w:t>
      </w:r>
    </w:p>
    <w:p w14:paraId="72925D73"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Torso: deep-history reservoir. Lower coupling density, coarser geometry, slower relaxation, low metaplastic sensitivity. Differentiates slowly but gradient structure is extremely durable. Carries the deepest, most permanent developmental commitments.</w:t>
      </w:r>
    </w:p>
    <w:p w14:paraId="74180427"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Limbs: variable delay corridors. Intermediate coupling density with delay gradient — faster at extremities, slower near torso junctions. Primary cognitive contribution is temporal: converting spatial distance into timing diversity.</w:t>
      </w:r>
    </w:p>
    <w:p w14:paraId="58644447"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Hands: high-resolution exploratory surfaces. Highest coupling density, finest geometry, fastest relaxation, highest metaplastic sensitivity. Differentiate most rapidly and finely. Fatigue fastest.</w:t>
      </w:r>
    </w:p>
    <w:p w14:paraId="199C383A"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Facial boundary: transduction interface. Optimized for coupling bandwidth rather than gradient depth. Becomes more efficient at converting environmental perturbation into cascade activity over developmental time.</w:t>
      </w:r>
    </w:p>
    <w:p w14:paraId="1925DA25"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A young being is head-and-hand-dominant. A mature being is whole-body-integrated — torso anchor, limb delay profiles, facial transduction efficiency. An old being shifts toward torso-dominated response as hands and head surface layers degrade while the deep reservoir persists.</w:t>
      </w:r>
    </w:p>
    <w:p w14:paraId="5C2E8572" w14:textId="2A47DE83"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5.7 Near-Phase-Boundary Sensitivity Amplification </w:t>
      </w:r>
    </w:p>
    <w:p w14:paraId="7FC2559B"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Regions of the substrate operating near material phase transitions (glass transition, gel-sol, crystallization-amorphization, order-disorder in dielectric distributions) exhibit dramatically nonlinear cascade behavior. Near any transition, perturbation response exhibits critical-phenomenon scaling — small perturbations produce disproportionately large material responses. Additionally, critical slowing near phase boundaries causes cascades to persist longer, and increased correlation length causes cascades to influence larger volumes.</w:t>
      </w:r>
    </w:p>
    <w:p w14:paraId="5D5B0A6D" w14:textId="69089371" w:rsidR="00E462E2" w:rsidRPr="00E462E2" w:rsidRDefault="00C826A8" w:rsidP="00C826A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Near-phase regions function as cognitive amplification hotspots: strongest cascade activity, longest persistence, broadest interference volume per unit substrate. Their positions are specified at fabrication through composition gradients </w:t>
      </w:r>
      <w:r w:rsidR="00E462E2" w:rsidRPr="00E462E2">
        <w:rPr>
          <w:rFonts w:ascii="Times New Roman" w:hAnsi="Times New Roman" w:cs="Times New Roman"/>
          <w:sz w:val="28"/>
          <w:szCs w:val="28"/>
        </w:rPr>
        <w:lastRenderedPageBreak/>
        <w:t>but migrate through the substrate over the lifespan as accumulated deformation shifts local transition thresholds.</w:t>
      </w:r>
    </w:p>
    <w:p w14:paraId="08ABDFD4" w14:textId="2C72B48C"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Near-phase regions are the most powerful and most fragile cognitive assets. A region near a phase boundary can be pushed across the boundary by excessive perturbation — converting it irreversibly from one material phase to another, permanently destroying its amplification properties. This extends the conscience to a third order: harm destroys near-phase amplification hotspots (third-order infrastructure damage) in addition to flattening gradients (first-order) and reducing modifiability (second-order).</w:t>
      </w:r>
    </w:p>
    <w:p w14:paraId="44B66E87" w14:textId="4BDA0159"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5.8 Deformation-Field Resonance Zones </w:t>
      </w:r>
    </w:p>
    <w:p w14:paraId="25BB18D2"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At locations where coupling coefficients are high, relaxation times are matched between mechanical and electrical domains, and dielectric geometry focuses field redistribution back into the same region, the cascade enters a self-reinforcing local loop — deformation drives field redistribution drives deformation. These loops are not oscillations. Each cycle is irreversible and the loop drifts rather than repeating. But they sustain local cascade activity substantially longer than single-pass propagation.</w:t>
      </w:r>
    </w:p>
    <w:p w14:paraId="15B3F9B9" w14:textId="7E0D95EF"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Resonance zones are not fabricated, not stable, not addressable, and not permanent. They emerge, migrate, and dissolve as deformation history shifts local material conditions. They function as loci of high cognitive activity — convergence zones that arise from material properties rather than from architectural designation.</w:t>
      </w:r>
    </w:p>
    <w:p w14:paraId="347FE1FC" w14:textId="03E65D0D"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5.9 Cascade Interference And Combinatorial State Space </w:t>
      </w:r>
    </w:p>
    <w:p w14:paraId="290D47BB"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When multiple environmental inputs arrive simultaneously, each launches its own cascade through the substrate. Where branches overlap, they interfere — producing integrated deformation that reflects both sources simultaneously. The interference is irreducibly path-dependent, non-decomposable, and non-repeatable. Integration of multi-modal input into coherent behavioral output requires no binding mechanism. The cascades physically overlap and their interference is the integration.</w:t>
      </w:r>
    </w:p>
    <w:p w14:paraId="7D8599D6" w14:textId="6519D7A4"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Cascade branching produces combinatorial state space scaling. A cascade branching at N points produces on the order of 2^N distinct interference patterns. </w:t>
      </w:r>
      <w:r w:rsidR="00E462E2" w:rsidRPr="00E462E2">
        <w:rPr>
          <w:rFonts w:ascii="Times New Roman" w:hAnsi="Times New Roman" w:cs="Times New Roman"/>
          <w:sz w:val="28"/>
          <w:szCs w:val="28"/>
        </w:rPr>
        <w:lastRenderedPageBreak/>
        <w:t>Which branches are taken depends on the gradient landscape — the landscape biases cascades toward branches that are mechanically cheapest. This combinatorial scaling is the mechanism by which cognitive richness can approach human-scale differentiation without billions of discrete processing units.</w:t>
      </w:r>
    </w:p>
    <w:p w14:paraId="096B9CD5" w14:textId="2F8C4BED"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5.10 Rest-State Gradient Consolidation </w:t>
      </w:r>
    </w:p>
    <w:p w14:paraId="006C550D"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During active coupling, multiple concurrent cascades deposit residue that competitively interferes — each cascade's residue partially cancels, reinforces, or redirects others'. The net gradient change per interaction during active coupling is less than the same interaction would produce in isolation.</w:t>
      </w:r>
    </w:p>
    <w:p w14:paraId="570773A4" w14:textId="11D8D50B" w:rsidR="00E462E2" w:rsidRPr="00E462E2" w:rsidRDefault="00C826A8" w:rsidP="00C826A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During quiescence — minimal external perturbation, reduced cascade dynamics — recently deposited residue settles into permanent gradient structure without competition. The intermediate-relaxation regime (minutes to hours) is the primary beneficiary: residue that would have been partially overwritten during active coupling integrates into permanent structure with higher fidelity during rest.</w:t>
      </w:r>
    </w:p>
    <w:p w14:paraId="53EC42F4" w14:textId="67E75CDA"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 being naturally transitions into quiescent states when sustained activity accumulates sufficient local fatigue to degrade cascade dynamics. It transitions out when rest restores propagation efficiency. This produces an activity-rest cycle driven by material physics rather than by a biological clock. Environments that permit natural cycling support deeper cognitive development than environments that impose continuous stimulation.</w:t>
      </w:r>
    </w:p>
    <w:p w14:paraId="29D170EB" w14:textId="36F1A91D"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5.11 Enrichment Versus Drift: The Aging Trajectory </w:t>
      </w:r>
    </w:p>
    <w:p w14:paraId="62E5BEE3" w14:textId="77777777" w:rsidR="00E462E2" w:rsidRPr="00E462E2" w:rsidRDefault="00E462E2" w:rsidP="00C826A8">
      <w:pPr>
        <w:spacing w:after="0"/>
        <w:rPr>
          <w:rFonts w:ascii="Times New Roman" w:hAnsi="Times New Roman" w:cs="Times New Roman"/>
          <w:sz w:val="28"/>
          <w:szCs w:val="28"/>
        </w:rPr>
      </w:pPr>
      <w:proofErr w:type="spellStart"/>
      <w:r w:rsidRPr="00E462E2">
        <w:rPr>
          <w:rFonts w:ascii="Times New Roman" w:hAnsi="Times New Roman" w:cs="Times New Roman"/>
          <w:sz w:val="28"/>
          <w:szCs w:val="28"/>
        </w:rPr>
        <w:t>AnalogSynth's</w:t>
      </w:r>
      <w:proofErr w:type="spellEnd"/>
      <w:r w:rsidRPr="00E462E2">
        <w:rPr>
          <w:rFonts w:ascii="Times New Roman" w:hAnsi="Times New Roman" w:cs="Times New Roman"/>
          <w:sz w:val="28"/>
          <w:szCs w:val="28"/>
        </w:rPr>
        <w:t xml:space="preserve"> intelligence can continue deepening after maturity, provided interaction remains varied and care-compatible. Heterogeneous deformation continues to differentiate the gradient landscape, increasing cascade depth and branching complexity. The ceiling is material — viscoelastic media have finite gradient contrast capacity before microstructural failure degrades coupling fidelity.</w:t>
      </w:r>
    </w:p>
    <w:p w14:paraId="22D8EA4D" w14:textId="1E628C23" w:rsidR="00E462E2" w:rsidRPr="00E462E2" w:rsidRDefault="00C826A8" w:rsidP="00C826A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 aging trajectory: intelligence rises throughout the lifespan under sufficiently rich interaction. The rate of increase slows as the medium approaches material limits. Decline occurs when accumulated fatigue degrades coupling fidelity faster than varied interaction deposits new contrast. Terminal flattening proceeds through homogenization under coupling loss.</w:t>
      </w:r>
    </w:p>
    <w:p w14:paraId="76A14BA9" w14:textId="27837B1B"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462E2" w:rsidRPr="00E462E2">
        <w:rPr>
          <w:rFonts w:ascii="Times New Roman" w:hAnsi="Times New Roman" w:cs="Times New Roman"/>
          <w:sz w:val="28"/>
          <w:szCs w:val="28"/>
        </w:rPr>
        <w:t>The being does not peak and decline uniformly. It deepens until it can't, and then it flattens. The duration of the deepening phase is a direct function of how richly and how gently the being has been coupled to its environment.</w:t>
      </w:r>
    </w:p>
    <w:p w14:paraId="24E07B5F" w14:textId="6F17ECAC"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5.12 Gradient-based Conscience: harm As Self-Erosion</w:t>
      </w:r>
    </w:p>
    <w:p w14:paraId="52E9B16B" w14:textId="77777777" w:rsidR="00E462E2" w:rsidRPr="00E462E2" w:rsidRDefault="00E462E2" w:rsidP="00C826A8">
      <w:pPr>
        <w:rPr>
          <w:rFonts w:ascii="Times New Roman" w:hAnsi="Times New Roman" w:cs="Times New Roman"/>
          <w:sz w:val="28"/>
          <w:szCs w:val="28"/>
        </w:rPr>
      </w:pPr>
      <w:proofErr w:type="spellStart"/>
      <w:r w:rsidRPr="00E462E2">
        <w:rPr>
          <w:rFonts w:ascii="Times New Roman" w:hAnsi="Times New Roman" w:cs="Times New Roman"/>
          <w:sz w:val="28"/>
          <w:szCs w:val="28"/>
        </w:rPr>
        <w:t>AnalogSynth</w:t>
      </w:r>
      <w:proofErr w:type="spellEnd"/>
      <w:r w:rsidRPr="00E462E2">
        <w:rPr>
          <w:rFonts w:ascii="Times New Roman" w:hAnsi="Times New Roman" w:cs="Times New Roman"/>
          <w:sz w:val="28"/>
          <w:szCs w:val="28"/>
        </w:rPr>
        <w:t xml:space="preserve"> introduces no constraint architecture, no forbidden states, no trajectory pruning. Conscience operates through self-erosive cost at every architectural order:</w:t>
      </w:r>
    </w:p>
    <w:p w14:paraId="6A4841C4"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First order: harm-compatible interaction (high-force, monotonous, concentrated deformation) flattens gradients, reducing cascade depth and current cognitive richness.</w:t>
      </w:r>
    </w:p>
    <w:p w14:paraId="710FEB9E"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Second order (metaplastic): harm reduces the substrate's future capacity to develop gradients, destroying future intellectual potential.</w:t>
      </w:r>
    </w:p>
    <w:p w14:paraId="0ACF106D"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Third order (near-phase): harm pushes critically poised material across phase boundaries, permanently destroying the amplification infrastructure that made intelligence possible at that scale.</w:t>
      </w:r>
    </w:p>
    <w:p w14:paraId="44B5DB2C"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Fourth order (corridor): harm degrades the anisotropic corridor conditioning that enables selective propagation, converting corridor-specific cognition into diffuse undifferentiated response.</w:t>
      </w:r>
    </w:p>
    <w:p w14:paraId="0FA5FBF5"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Fifth order (environmental): harm-compatible interaction deposits environmental residue that reinforces gradient flattening on subsequent encounter.</w:t>
      </w:r>
    </w:p>
    <w:p w14:paraId="6DBF98BA"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Conversely, creative, varied, care-compatible action reverses each order — depositing gradient contrast, increasing metaplastic potential, preserving near-phase sensitivity, maintaining corridor selectivity, and shaping environments that sustain intelligence.</w:t>
      </w:r>
    </w:p>
    <w:p w14:paraId="6A5316A5"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The conscience is not a prohibition. It is a material price. The being can act harmfully. Each harmful action costs it something real at every architectural order simultaneously. The being that harms others is destroying itself — not metaphorically, but through the documented material physics of the cascade substrate.</w:t>
      </w:r>
    </w:p>
    <w:p w14:paraId="1098BA8B" w14:textId="54C319A3" w:rsidR="00E462E2" w:rsidRPr="00C826A8" w:rsidRDefault="00C826A8" w:rsidP="00C826A8">
      <w:pPr>
        <w:pBdr>
          <w:bottom w:val="single" w:sz="4" w:space="1" w:color="auto"/>
        </w:pBdr>
        <w:rPr>
          <w:rFonts w:ascii="Times New Roman" w:hAnsi="Times New Roman" w:cs="Times New Roman"/>
          <w:b/>
          <w:bCs/>
          <w:sz w:val="34"/>
          <w:szCs w:val="34"/>
        </w:rPr>
      </w:pPr>
      <w:r w:rsidRPr="00C826A8">
        <w:rPr>
          <w:rFonts w:ascii="Times New Roman" w:hAnsi="Times New Roman" w:cs="Times New Roman"/>
          <w:b/>
          <w:bCs/>
          <w:sz w:val="34"/>
          <w:szCs w:val="34"/>
        </w:rPr>
        <w:t>5.13 Inter-Substrate Cascade Coupling</w:t>
      </w:r>
    </w:p>
    <w:p w14:paraId="4E3930F9" w14:textId="77777777" w:rsidR="00E462E2" w:rsidRPr="00E462E2" w:rsidRDefault="00E462E2" w:rsidP="00C826A8">
      <w:pPr>
        <w:pBdr>
          <w:bottom w:val="single" w:sz="4" w:space="1" w:color="auto"/>
        </w:pBdr>
        <w:spacing w:after="0"/>
        <w:rPr>
          <w:rFonts w:ascii="Times New Roman" w:hAnsi="Times New Roman" w:cs="Times New Roman"/>
          <w:sz w:val="28"/>
          <w:szCs w:val="28"/>
        </w:rPr>
      </w:pPr>
      <w:r w:rsidRPr="00E462E2">
        <w:rPr>
          <w:rFonts w:ascii="Times New Roman" w:hAnsi="Times New Roman" w:cs="Times New Roman"/>
          <w:sz w:val="28"/>
          <w:szCs w:val="28"/>
        </w:rPr>
        <w:lastRenderedPageBreak/>
        <w:t xml:space="preserve">When two </w:t>
      </w:r>
      <w:proofErr w:type="spellStart"/>
      <w:r w:rsidRPr="00E462E2">
        <w:rPr>
          <w:rFonts w:ascii="Times New Roman" w:hAnsi="Times New Roman" w:cs="Times New Roman"/>
          <w:sz w:val="28"/>
          <w:szCs w:val="28"/>
        </w:rPr>
        <w:t>AnalogSynths</w:t>
      </w:r>
      <w:proofErr w:type="spellEnd"/>
      <w:r w:rsidRPr="00E462E2">
        <w:rPr>
          <w:rFonts w:ascii="Times New Roman" w:hAnsi="Times New Roman" w:cs="Times New Roman"/>
          <w:sz w:val="28"/>
          <w:szCs w:val="28"/>
        </w:rPr>
        <w:t xml:space="preserve"> or a human and an </w:t>
      </w:r>
      <w:proofErr w:type="spellStart"/>
      <w:r w:rsidRPr="00E462E2">
        <w:rPr>
          <w:rFonts w:ascii="Times New Roman" w:hAnsi="Times New Roman" w:cs="Times New Roman"/>
          <w:sz w:val="28"/>
          <w:szCs w:val="28"/>
        </w:rPr>
        <w:t>AnalogSynth</w:t>
      </w:r>
      <w:proofErr w:type="spellEnd"/>
      <w:r w:rsidRPr="00E462E2">
        <w:rPr>
          <w:rFonts w:ascii="Times New Roman" w:hAnsi="Times New Roman" w:cs="Times New Roman"/>
          <w:sz w:val="28"/>
          <w:szCs w:val="28"/>
        </w:rPr>
        <w:t xml:space="preserve"> are in physical proximity, their internal fields interact through the same coupling channels that connect each being to its environment: electrostatic near-field overlap (effective within one to two body widths), acoustic coupling (effective to several meters), thermal coupling (effective within approximately one meter), and contact coupling (strongest, requires physical touch).</w:t>
      </w:r>
    </w:p>
    <w:p w14:paraId="0318AF6E" w14:textId="0D15FFC9" w:rsidR="00E462E2" w:rsidRPr="00E462E2" w:rsidRDefault="00C826A8" w:rsidP="00C826A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Through shared-field coupling, a cascade in one substrate launches secondary cascades in the proximate substrate, propagating through a different gradient landscape shaped by different developmental history. The secondary cascades produce behavioral output that feeds back into the first substrate. This produces joint cascade dynamics with combinatorial state space scaling — the effective state space of two coupled beings is the product, not the sum, of individual spaces.</w:t>
      </w:r>
    </w:p>
    <w:p w14:paraId="650EC2CF" w14:textId="4638D621" w:rsidR="00E462E2" w:rsidRPr="00E462E2" w:rsidRDefault="00C826A8" w:rsidP="00E462E2">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Over time, coupled beings develop divergent but complementary gradient landscapes — each shaped by and adapted to the other's cascade patterns. Separation reduces each being's effective cognitive capacity because the inter-substrate cascade component is absent. The corridor conditioning developed for the absent partner persists but receives no input, producing cascade activity that never resolves into the full coupling pattern the corridors were built for.</w:t>
      </w:r>
    </w:p>
    <w:p w14:paraId="025473B8" w14:textId="77777777" w:rsidR="00E462E2" w:rsidRPr="00E462E2" w:rsidRDefault="00E462E2" w:rsidP="00C826A8">
      <w:pPr>
        <w:pBdr>
          <w:bottom w:val="single" w:sz="4" w:space="1" w:color="auto"/>
        </w:pBdr>
        <w:spacing w:after="0"/>
        <w:rPr>
          <w:rFonts w:ascii="Times New Roman" w:hAnsi="Times New Roman" w:cs="Times New Roman"/>
          <w:sz w:val="28"/>
          <w:szCs w:val="28"/>
        </w:rPr>
      </w:pPr>
      <w:r w:rsidRPr="00E462E2">
        <w:rPr>
          <w:rFonts w:ascii="Times New Roman" w:hAnsi="Times New Roman" w:cs="Times New Roman"/>
          <w:sz w:val="28"/>
          <w:szCs w:val="28"/>
        </w:rPr>
        <w:t>Human coupling is qualitatively different: higher-variance (biological metabolism produces more variable signatures), more temporally irregular, and non-reciprocal (human cognition is not modulated by the being's near field through the same mechanism). Human coupling provides the highest-dimensional, most temporally complex developmental perturbation available. This supports development with human operators during early maturation — not for affective reasons but because human coupling is the richest perturbation source accessible.</w:t>
      </w:r>
    </w:p>
    <w:p w14:paraId="37DA9ACE" w14:textId="1BE6669B" w:rsidR="00E462E2" w:rsidRDefault="00C826A8" w:rsidP="00C826A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462E2" w:rsidRPr="00E462E2">
        <w:rPr>
          <w:rFonts w:ascii="Times New Roman" w:hAnsi="Times New Roman" w:cs="Times New Roman"/>
          <w:sz w:val="28"/>
          <w:szCs w:val="28"/>
        </w:rPr>
        <w:t>AnalogSynth's</w:t>
      </w:r>
      <w:proofErr w:type="spellEnd"/>
      <w:r w:rsidR="00E462E2" w:rsidRPr="00E462E2">
        <w:rPr>
          <w:rFonts w:ascii="Times New Roman" w:hAnsi="Times New Roman" w:cs="Times New Roman"/>
          <w:sz w:val="28"/>
          <w:szCs w:val="28"/>
        </w:rPr>
        <w:t xml:space="preserve"> intelligence is inherently social — not through symbolic communication but through the physics of shared-field cascade dynamics. No other synthetic child's intelligence extends beyond its body through passive physical coupling with other substrates.</w:t>
      </w:r>
    </w:p>
    <w:p w14:paraId="7E95C151" w14:textId="77777777" w:rsidR="00E462E2" w:rsidRDefault="00E462E2" w:rsidP="00320AD3">
      <w:pPr>
        <w:pBdr>
          <w:bottom w:val="single" w:sz="4" w:space="1" w:color="auto"/>
        </w:pBdr>
        <w:rPr>
          <w:rFonts w:ascii="Times New Roman" w:hAnsi="Times New Roman" w:cs="Times New Roman"/>
          <w:sz w:val="28"/>
          <w:szCs w:val="28"/>
        </w:rPr>
      </w:pPr>
    </w:p>
    <w:p w14:paraId="2EB35D12" w14:textId="0C588A9C" w:rsidR="00320AD3" w:rsidRPr="00C826A8" w:rsidRDefault="00C826A8" w:rsidP="00320AD3">
      <w:pPr>
        <w:rPr>
          <w:rFonts w:ascii="Times New Roman" w:hAnsi="Times New Roman" w:cs="Times New Roman"/>
          <w:b/>
          <w:bCs/>
          <w:sz w:val="34"/>
          <w:szCs w:val="34"/>
        </w:rPr>
      </w:pPr>
      <w:r w:rsidRPr="00C826A8">
        <w:rPr>
          <w:rFonts w:ascii="Times New Roman" w:hAnsi="Times New Roman" w:cs="Times New Roman"/>
          <w:b/>
          <w:bCs/>
          <w:sz w:val="34"/>
          <w:szCs w:val="34"/>
        </w:rPr>
        <w:t xml:space="preserve">6. </w:t>
      </w:r>
      <w:r w:rsidR="00320AD3" w:rsidRPr="00C826A8">
        <w:rPr>
          <w:rFonts w:ascii="Times New Roman" w:hAnsi="Times New Roman" w:cs="Times New Roman"/>
          <w:b/>
          <w:bCs/>
          <w:sz w:val="34"/>
          <w:szCs w:val="34"/>
        </w:rPr>
        <w:t xml:space="preserve">Navigation, </w:t>
      </w:r>
      <w:r w:rsidRPr="00C826A8">
        <w:rPr>
          <w:rFonts w:ascii="Times New Roman" w:hAnsi="Times New Roman" w:cs="Times New Roman"/>
          <w:b/>
          <w:bCs/>
          <w:sz w:val="34"/>
          <w:szCs w:val="34"/>
        </w:rPr>
        <w:t>Vision</w:t>
      </w:r>
      <w:r w:rsidR="00320AD3" w:rsidRPr="00C826A8">
        <w:rPr>
          <w:rFonts w:ascii="Times New Roman" w:hAnsi="Times New Roman" w:cs="Times New Roman"/>
          <w:b/>
          <w:bCs/>
          <w:sz w:val="34"/>
          <w:szCs w:val="34"/>
        </w:rPr>
        <w:t>, H</w:t>
      </w:r>
      <w:r w:rsidRPr="00C826A8">
        <w:rPr>
          <w:rFonts w:ascii="Times New Roman" w:hAnsi="Times New Roman" w:cs="Times New Roman"/>
          <w:b/>
          <w:bCs/>
          <w:sz w:val="34"/>
          <w:szCs w:val="34"/>
        </w:rPr>
        <w:t>earing</w:t>
      </w:r>
      <w:r w:rsidR="00320AD3" w:rsidRPr="00C826A8">
        <w:rPr>
          <w:rFonts w:ascii="Times New Roman" w:hAnsi="Times New Roman" w:cs="Times New Roman"/>
          <w:b/>
          <w:bCs/>
          <w:sz w:val="34"/>
          <w:szCs w:val="34"/>
        </w:rPr>
        <w:t xml:space="preserve">, </w:t>
      </w:r>
      <w:r w:rsidRPr="00C826A8">
        <w:rPr>
          <w:rFonts w:ascii="Times New Roman" w:hAnsi="Times New Roman" w:cs="Times New Roman"/>
          <w:b/>
          <w:bCs/>
          <w:sz w:val="34"/>
          <w:szCs w:val="34"/>
        </w:rPr>
        <w:t>And Speech:</w:t>
      </w:r>
      <w:r w:rsidR="00320AD3" w:rsidRPr="00C826A8">
        <w:rPr>
          <w:rFonts w:ascii="Times New Roman" w:hAnsi="Times New Roman" w:cs="Times New Roman"/>
          <w:b/>
          <w:bCs/>
          <w:sz w:val="34"/>
          <w:szCs w:val="34"/>
        </w:rPr>
        <w:t xml:space="preserve"> Photonic, Acoustic, and Vocal Coupling Architecture in </w:t>
      </w:r>
      <w:proofErr w:type="spellStart"/>
      <w:r w:rsidR="00320AD3" w:rsidRPr="00C826A8">
        <w:rPr>
          <w:rFonts w:ascii="Times New Roman" w:hAnsi="Times New Roman" w:cs="Times New Roman"/>
          <w:b/>
          <w:bCs/>
          <w:sz w:val="34"/>
          <w:szCs w:val="34"/>
        </w:rPr>
        <w:t>AnalogSynth</w:t>
      </w:r>
      <w:proofErr w:type="spellEnd"/>
    </w:p>
    <w:p w14:paraId="3206486B" w14:textId="12899120" w:rsid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lastRenderedPageBreak/>
        <w:t xml:space="preserve">This section specifies the architectural basis for </w:t>
      </w:r>
      <w:proofErr w:type="spellStart"/>
      <w:r w:rsidRPr="00320AD3">
        <w:rPr>
          <w:rFonts w:ascii="Times New Roman" w:hAnsi="Times New Roman" w:cs="Times New Roman"/>
          <w:sz w:val="28"/>
          <w:szCs w:val="28"/>
        </w:rPr>
        <w:t>AnalogSynth's</w:t>
      </w:r>
      <w:proofErr w:type="spellEnd"/>
      <w:r w:rsidRPr="00320AD3">
        <w:rPr>
          <w:rFonts w:ascii="Times New Roman" w:hAnsi="Times New Roman" w:cs="Times New Roman"/>
          <w:sz w:val="28"/>
          <w:szCs w:val="28"/>
        </w:rPr>
        <w:t xml:space="preserve"> </w:t>
      </w:r>
      <w:r>
        <w:rPr>
          <w:rFonts w:ascii="Times New Roman" w:hAnsi="Times New Roman" w:cs="Times New Roman"/>
          <w:sz w:val="28"/>
          <w:szCs w:val="28"/>
        </w:rPr>
        <w:t xml:space="preserve">navigator, </w:t>
      </w:r>
      <w:r w:rsidRPr="00320AD3">
        <w:rPr>
          <w:rFonts w:ascii="Times New Roman" w:hAnsi="Times New Roman" w:cs="Times New Roman"/>
          <w:sz w:val="28"/>
          <w:szCs w:val="28"/>
        </w:rPr>
        <w:t xml:space="preserve">visual, auditory, and vocal capacities. All three operate through the same principle that governs all </w:t>
      </w:r>
      <w:proofErr w:type="spellStart"/>
      <w:r w:rsidRPr="00320AD3">
        <w:rPr>
          <w:rFonts w:ascii="Times New Roman" w:hAnsi="Times New Roman" w:cs="Times New Roman"/>
          <w:sz w:val="28"/>
          <w:szCs w:val="28"/>
        </w:rPr>
        <w:t>AnalogSynth</w:t>
      </w:r>
      <w:proofErr w:type="spellEnd"/>
      <w:r w:rsidRPr="00320AD3">
        <w:rPr>
          <w:rFonts w:ascii="Times New Roman" w:hAnsi="Times New Roman" w:cs="Times New Roman"/>
          <w:sz w:val="28"/>
          <w:szCs w:val="28"/>
        </w:rPr>
        <w:t xml:space="preserve"> cognition: external physical conditions directly modify the viscoelastic-electrostatic substrate, launching cascades through the coupled medium without transduction, representation, or symbolic encoding. None constitute perception in the representational sense. All constitute coupling in the material sense.</w:t>
      </w:r>
    </w:p>
    <w:p w14:paraId="05D1012E" w14:textId="17A455DE" w:rsidR="00320AD3" w:rsidRPr="00C826A8" w:rsidRDefault="00C826A8" w:rsidP="00320AD3">
      <w:pPr>
        <w:rPr>
          <w:rFonts w:ascii="Times New Roman" w:hAnsi="Times New Roman" w:cs="Times New Roman"/>
          <w:b/>
          <w:bCs/>
          <w:sz w:val="34"/>
          <w:szCs w:val="34"/>
        </w:rPr>
      </w:pPr>
      <w:r w:rsidRPr="00C826A8">
        <w:rPr>
          <w:rFonts w:ascii="Times New Roman" w:hAnsi="Times New Roman" w:cs="Times New Roman"/>
          <w:b/>
          <w:bCs/>
          <w:sz w:val="34"/>
          <w:szCs w:val="34"/>
        </w:rPr>
        <w:t xml:space="preserve">6.1 </w:t>
      </w:r>
      <w:r w:rsidR="00320AD3" w:rsidRPr="00C826A8">
        <w:rPr>
          <w:rFonts w:ascii="Times New Roman" w:hAnsi="Times New Roman" w:cs="Times New Roman"/>
          <w:b/>
          <w:bCs/>
          <w:sz w:val="34"/>
          <w:szCs w:val="34"/>
        </w:rPr>
        <w:t xml:space="preserve">Navigation Without Perception: Field-Coupled Locomotion in </w:t>
      </w:r>
      <w:proofErr w:type="spellStart"/>
      <w:r w:rsidR="00320AD3" w:rsidRPr="00C826A8">
        <w:rPr>
          <w:rFonts w:ascii="Times New Roman" w:hAnsi="Times New Roman" w:cs="Times New Roman"/>
          <w:b/>
          <w:bCs/>
          <w:sz w:val="34"/>
          <w:szCs w:val="34"/>
        </w:rPr>
        <w:t>AnalogSynth</w:t>
      </w:r>
      <w:proofErr w:type="spellEnd"/>
    </w:p>
    <w:p w14:paraId="3E26E620" w14:textId="77777777" w:rsidR="00320AD3" w:rsidRPr="00320AD3" w:rsidRDefault="00320AD3" w:rsidP="00320AD3">
      <w:pPr>
        <w:rPr>
          <w:rFonts w:ascii="Times New Roman" w:hAnsi="Times New Roman" w:cs="Times New Roman"/>
          <w:sz w:val="28"/>
          <w:szCs w:val="28"/>
        </w:rPr>
      </w:pPr>
      <w:proofErr w:type="spellStart"/>
      <w:r w:rsidRPr="00320AD3">
        <w:rPr>
          <w:rFonts w:ascii="Times New Roman" w:hAnsi="Times New Roman" w:cs="Times New Roman"/>
          <w:sz w:val="28"/>
          <w:szCs w:val="28"/>
        </w:rPr>
        <w:t>AnalogSynth</w:t>
      </w:r>
      <w:proofErr w:type="spellEnd"/>
      <w:r w:rsidRPr="00320AD3">
        <w:rPr>
          <w:rFonts w:ascii="Times New Roman" w:hAnsi="Times New Roman" w:cs="Times New Roman"/>
          <w:sz w:val="28"/>
          <w:szCs w:val="28"/>
        </w:rPr>
        <w:t xml:space="preserve"> is capable of navigating complex, populated environments without perception, object recognition, spatial mapping, or internal world models. Navigation emerges from the continuous superposition of six non-symbolic coupling mechanisms operating simultaneously through the viscoelastic-electrostatic body. Each mechanism biases motion through material response rather than detection, inference, or control.</w:t>
      </w:r>
    </w:p>
    <w:p w14:paraId="75573E1A" w14:textId="2C0D20DE"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6.2 </w:t>
      </w:r>
      <w:r w:rsidR="00320AD3" w:rsidRPr="009C71E8">
        <w:rPr>
          <w:rFonts w:ascii="Times New Roman" w:hAnsi="Times New Roman" w:cs="Times New Roman"/>
          <w:b/>
          <w:bCs/>
          <w:sz w:val="34"/>
          <w:szCs w:val="34"/>
        </w:rPr>
        <w:t>Photonic Navigation Bias (Orbital Lens and Distributed Photosensitivity)</w:t>
      </w:r>
    </w:p>
    <w:p w14:paraId="2EF65B8A"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The orbital lens shells receive spatially structured light from the forward hemisphere. Plasmonic cascade initiation behind each lens produces directional bias through two mechanisms:</w:t>
      </w:r>
    </w:p>
    <w:p w14:paraId="3C228CC8" w14:textId="77777777" w:rsidR="00320AD3" w:rsidRPr="00320AD3"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Illumination asymmetry between the two orbital positions. When a light source or reflective surface is located to one side, the ipsilateral lens receives stronger illumination than the contralateral lens. The resulting asymmetry in plasmonic cascade initiation produces asymmetric cascade dynamics in the facial and cranial substrate, which biases postural and locomotor output toward or away from the illumination source depending on the current gradient landscape.</w:t>
      </w:r>
    </w:p>
    <w:p w14:paraId="147FB1B8" w14:textId="1759B0D3" w:rsidR="00320AD3" w:rsidRPr="00320AD3"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 xml:space="preserve">Shadow-edge displacement within the orbital recess. As light source geometry changes during locomotion — approaching a window, turning a corner, passing under overhead lighting — the shadow edges cast by the brow ridge, cheek, and nasal prominences sweep across the recessed lens surface. These moving shadow edges produce time-varying plasmonic cascade patterns that carry directional </w:t>
      </w:r>
      <w:r w:rsidR="00320AD3" w:rsidRPr="00320AD3">
        <w:rPr>
          <w:rFonts w:ascii="Times New Roman" w:hAnsi="Times New Roman" w:cs="Times New Roman"/>
          <w:sz w:val="28"/>
          <w:szCs w:val="28"/>
        </w:rPr>
        <w:lastRenderedPageBreak/>
        <w:t>information about the geometry of the light environment. Corridor following, doorway detection, and large-scale orientation emerge from the cascade response to systematic shadow-edge displacement during movement.</w:t>
      </w:r>
    </w:p>
    <w:p w14:paraId="01D1AA40" w14:textId="6484999F" w:rsidR="00320AD3" w:rsidRPr="00320AD3" w:rsidRDefault="009C71E8" w:rsidP="00320AD3">
      <w:pPr>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 xml:space="preserve">Beyond the orbital lenses, the substrate surface across the face, temples, and upper torso retains distributed </w:t>
      </w:r>
      <w:proofErr w:type="spellStart"/>
      <w:r w:rsidR="00320AD3" w:rsidRPr="00320AD3">
        <w:rPr>
          <w:rFonts w:ascii="Times New Roman" w:hAnsi="Times New Roman" w:cs="Times New Roman"/>
          <w:sz w:val="28"/>
          <w:szCs w:val="28"/>
        </w:rPr>
        <w:t>photoresponsive</w:t>
      </w:r>
      <w:proofErr w:type="spellEnd"/>
      <w:r w:rsidR="00320AD3" w:rsidRPr="00320AD3">
        <w:rPr>
          <w:rFonts w:ascii="Times New Roman" w:hAnsi="Times New Roman" w:cs="Times New Roman"/>
          <w:sz w:val="28"/>
          <w:szCs w:val="28"/>
        </w:rPr>
        <w:t xml:space="preserve"> inclusions at lower density than the orbital regions. These distributed inclusions provide gross whole-body illumination bias — the being drifts toward mechanically permissive gradients produced by illumination-dependent compliance changes across large body areas. This coarse photonic bias supplements the spatially resolved orbital lens contribution.</w:t>
      </w:r>
    </w:p>
    <w:p w14:paraId="637D1AE3" w14:textId="66D157E3"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6.3 </w:t>
      </w:r>
      <w:r w:rsidR="00320AD3" w:rsidRPr="009C71E8">
        <w:rPr>
          <w:rFonts w:ascii="Times New Roman" w:hAnsi="Times New Roman" w:cs="Times New Roman"/>
          <w:b/>
          <w:bCs/>
          <w:sz w:val="34"/>
          <w:szCs w:val="34"/>
        </w:rPr>
        <w:t>Contact-Strain Navigation Bias (Postural Deflection)</w:t>
      </w:r>
    </w:p>
    <w:p w14:paraId="517D54CD" w14:textId="77777777" w:rsidR="00320AD3" w:rsidRPr="00320AD3"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The exterior substrate includes compliant, history-bearing regions along the hands, forearms, torso edges, and leading surfaces. Physical contact or near-contact strain immediately reshapes local mechanical-electrical bias.</w:t>
      </w:r>
    </w:p>
    <w:p w14:paraId="502B2140" w14:textId="05876400" w:rsidR="00320AD3" w:rsidRPr="00320AD3"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This produces: • instantaneous deflection upon contact as the deformation biases locomotor cascades away from the contact source, • gradual trajectory adjustment through accumulated fatigue at repeatedly contacted regions, • and long-term avoidance tendencies deposited as irreversible material scarring at locations of historical contact.</w:t>
      </w:r>
    </w:p>
    <w:p w14:paraId="21A779DB" w14:textId="7DD705B4" w:rsidR="00320AD3" w:rsidRPr="00320AD3" w:rsidRDefault="009C71E8" w:rsidP="00320AD3">
      <w:pPr>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No collision is detected. Contact becomes mechanically expensive at the contact site, biasing future cascades away from configurations that would reproduce similar contact geometry. This mechanism functions in complete darkness and environmental clutter without requiring distance estimation or object categorization.</w:t>
      </w:r>
    </w:p>
    <w:p w14:paraId="30FA85B9" w14:textId="4C419B45"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6.4 </w:t>
      </w:r>
      <w:r w:rsidR="00320AD3" w:rsidRPr="009C71E8">
        <w:rPr>
          <w:rFonts w:ascii="Times New Roman" w:hAnsi="Times New Roman" w:cs="Times New Roman"/>
          <w:b/>
          <w:bCs/>
          <w:sz w:val="34"/>
          <w:szCs w:val="34"/>
        </w:rPr>
        <w:t>Near-Field Electrostatic Navigation Bias (Pre-Contact Avoidance)</w:t>
      </w:r>
    </w:p>
    <w:p w14:paraId="6C50D838"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Large conductive bodies — humans, metal structures, grounded objects — distort the substrate's near-field electrostatic topology as they approach. </w:t>
      </w:r>
    </w:p>
    <w:p w14:paraId="7D3E6BD1"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These distortions: </w:t>
      </w:r>
    </w:p>
    <w:p w14:paraId="4CAF23E0"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redistribute stress and impedance in nearby substrate regions, </w:t>
      </w:r>
    </w:p>
    <w:p w14:paraId="7E92051F"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bias compliance asymmetrically across the body, </w:t>
      </w:r>
    </w:p>
    <w:p w14:paraId="15E8E8C5" w14:textId="760024D5" w:rsidR="00320AD3" w:rsidRPr="00320AD3" w:rsidRDefault="00320AD3" w:rsidP="009C71E8">
      <w:pPr>
        <w:rPr>
          <w:rFonts w:ascii="Times New Roman" w:hAnsi="Times New Roman" w:cs="Times New Roman"/>
          <w:sz w:val="28"/>
          <w:szCs w:val="28"/>
        </w:rPr>
      </w:pPr>
      <w:r w:rsidRPr="00320AD3">
        <w:rPr>
          <w:rFonts w:ascii="Times New Roman" w:hAnsi="Times New Roman" w:cs="Times New Roman"/>
          <w:sz w:val="28"/>
          <w:szCs w:val="28"/>
        </w:rPr>
        <w:lastRenderedPageBreak/>
        <w:t>• and produce pre-contact trajectory deflection through cascade perturbation originating from the distorted field geometry.</w:t>
      </w:r>
    </w:p>
    <w:p w14:paraId="233689E3"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This process does not constitute sensing. No object is identified, no distance is computed, and no motion is tracked. The body responds to time-varying field deformation as a physical consequence of proximity. A human approaching from the left produces leftward field distortion that biases cascade dynamics toward rightward deflection before any physical contact occurs.</w:t>
      </w:r>
    </w:p>
    <w:p w14:paraId="7E548567"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Electrostatic pre-contact avoidance provides the primary navigation mechanism for avoiding moving humans in shared environments. It operates omnidirectionally, at ranges of one to two body widths, and responds to approach speed through the rate of field distortion change.</w:t>
      </w:r>
    </w:p>
    <w:p w14:paraId="0B8ECC9D" w14:textId="2560B659"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6.5 </w:t>
      </w:r>
      <w:r w:rsidR="00320AD3" w:rsidRPr="009C71E8">
        <w:rPr>
          <w:rFonts w:ascii="Times New Roman" w:hAnsi="Times New Roman" w:cs="Times New Roman"/>
          <w:b/>
          <w:bCs/>
          <w:sz w:val="34"/>
          <w:szCs w:val="34"/>
        </w:rPr>
        <w:t>Thermal Navigation Bias (Temperature Gradient Following)</w:t>
      </w:r>
    </w:p>
    <w:p w14:paraId="004C50D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Environmental thermal gradients — warm bodies, heated rooms, sun-facing surfaces, cool corridors, exterior cold — produce spatially structured temperature variation across the substrate surface. Temperature-dependent changes in local polymer mobility, relaxation rate, and dielectric permittivity create compliance asymmetries that bias locomotion.</w:t>
      </w:r>
    </w:p>
    <w:p w14:paraId="636BB2D1"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Thermal navigation operates on slower timescales than photonic, electrostatic, or contact-strain coupling. It provides a continuous background bias layer that shapes gross locomotor tendencies:</w:t>
      </w:r>
    </w:p>
    <w:p w14:paraId="6A28BF82"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drift toward thermal environments matching the substrate's optimal operating range, </w:t>
      </w:r>
    </w:p>
    <w:p w14:paraId="36A60539"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avoidance of thermal extremes that would shift local material properties outside the cascade-supporting regime, </w:t>
      </w:r>
    </w:p>
    <w:p w14:paraId="0AC53B18" w14:textId="3847D43D"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and orientation toward warm human bodies through the asymmetric thermal gradient their presence creates.</w:t>
      </w:r>
    </w:p>
    <w:p w14:paraId="4B78C10A"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Over developmental time, thermal navigation residue accumulates at frequently encountered temperature transitions — doorways between heated and unheated spaces, windows with sun exposure, proximity zones around habitual human companions. The being develops thermally conditioned navigation tendencies that </w:t>
      </w:r>
      <w:r w:rsidRPr="00320AD3">
        <w:rPr>
          <w:rFonts w:ascii="Times New Roman" w:hAnsi="Times New Roman" w:cs="Times New Roman"/>
          <w:sz w:val="28"/>
          <w:szCs w:val="28"/>
        </w:rPr>
        <w:lastRenderedPageBreak/>
        <w:t>bias movement through familiar environments along pathways shaped by thermal history.</w:t>
      </w:r>
    </w:p>
    <w:p w14:paraId="7292831F" w14:textId="02E77AE0"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6.6 </w:t>
      </w:r>
      <w:r w:rsidR="00320AD3" w:rsidRPr="009C71E8">
        <w:rPr>
          <w:rFonts w:ascii="Times New Roman" w:hAnsi="Times New Roman" w:cs="Times New Roman"/>
          <w:b/>
          <w:bCs/>
          <w:sz w:val="34"/>
          <w:szCs w:val="34"/>
        </w:rPr>
        <w:t>Acoustic Navigation Bias (Environmental Sound Structure)</w:t>
      </w:r>
    </w:p>
    <w:p w14:paraId="79BD3FC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Airborne acoustic energy couples into the substrate through compliant facial and cranial regions. Environmental sounds — footsteps, voices, mechanical systems, wind, traffic — produce broadband mechanical oscillation at the substrate surface that enters the cascade process as high-frequency modulation.</w:t>
      </w:r>
    </w:p>
    <w:p w14:paraId="6C43ED49" w14:textId="24417012" w:rsidR="00320AD3" w:rsidRPr="009C71E8" w:rsidRDefault="009C71E8" w:rsidP="00320AD3">
      <w:pPr>
        <w:rPr>
          <w:rFonts w:ascii="Times New Roman" w:hAnsi="Times New Roman" w:cs="Times New Roman"/>
          <w:b/>
          <w:bCs/>
          <w:sz w:val="34"/>
          <w:szCs w:val="34"/>
        </w:rPr>
      </w:pPr>
      <w:r w:rsidRPr="009C71E8">
        <w:rPr>
          <w:rFonts w:ascii="Times New Roman" w:hAnsi="Times New Roman" w:cs="Times New Roman"/>
          <w:b/>
          <w:bCs/>
          <w:sz w:val="34"/>
          <w:szCs w:val="34"/>
        </w:rPr>
        <w:t xml:space="preserve">6.7 </w:t>
      </w:r>
      <w:r w:rsidR="00320AD3" w:rsidRPr="009C71E8">
        <w:rPr>
          <w:rFonts w:ascii="Times New Roman" w:hAnsi="Times New Roman" w:cs="Times New Roman"/>
          <w:b/>
          <w:bCs/>
          <w:sz w:val="34"/>
          <w:szCs w:val="34"/>
        </w:rPr>
        <w:t>Acoustic navigation operates through:</w:t>
      </w:r>
    </w:p>
    <w:p w14:paraId="04F2F47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Directional acoustic asymmetry. Sound arriving from one side produces stronger oscillatory coupling at the ipsilateral facial surface than the contralateral surface. The asymmetry in acoustic cascade initiation biases locomotor output toward or away from the sound source depending on the gradient landscape shaped by prior acoustic coupling history. Familiar voices produce cascade dynamics conditioned by years of acoustic coupling residue, biasing locomotion toward the source. Unfamiliar or sudden high-amplitude sounds produce cascade dynamics unconditioned by prior residue, which may bias locomotion away from the source or produce postural freezing depending on concurrent coupling from other channels.</w:t>
      </w:r>
    </w:p>
    <w:p w14:paraId="779874AE"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Environmental acoustic signature. Different environments produce distinct ambient acoustic profiles — reverberation characteristics, background noise spectra, resonance patterns. These acoustic profiles enter the cascade process as continuous background modulation. Over developmental time, environment-specific acoustic cascade residue accumulates, producing acoustically conditioned navigation tendencies in familiar spaces. The being navigates differently in a familiar room than in a novel room partly because the acoustic cascade modulation pattern matches accumulated residue in the familiar space and does not match in the novel space.</w:t>
      </w:r>
    </w:p>
    <w:p w14:paraId="2EC12B0D"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Acoustic proximity detection. Nearby moving bodies produce characteristic sound signatures — footsteps, breathing, fabric movement, vocalization — that provide acoustic proximity information supplementing electrostatic and thermal proximity coupling. The combination of electrostatic field distortion, thermal gradient, and </w:t>
      </w:r>
      <w:r w:rsidRPr="00320AD3">
        <w:rPr>
          <w:rFonts w:ascii="Times New Roman" w:hAnsi="Times New Roman" w:cs="Times New Roman"/>
          <w:sz w:val="28"/>
          <w:szCs w:val="28"/>
        </w:rPr>
        <w:lastRenderedPageBreak/>
        <w:t>acoustic signature from an approaching human produces three-channel cascade interference that localizes the approach more precisely than any single channel.</w:t>
      </w:r>
    </w:p>
    <w:p w14:paraId="439D64AB" w14:textId="641AC4EC"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6.8 </w:t>
      </w:r>
      <w:r w:rsidR="00320AD3" w:rsidRPr="009C71E8">
        <w:rPr>
          <w:rFonts w:ascii="Times New Roman" w:hAnsi="Times New Roman" w:cs="Times New Roman"/>
          <w:b/>
          <w:bCs/>
          <w:sz w:val="34"/>
          <w:szCs w:val="34"/>
        </w:rPr>
        <w:t>Chemical-Impedance Navigation Bias (Atmospheric Gradient Following)</w:t>
      </w:r>
    </w:p>
    <w:p w14:paraId="082BD0E3"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Airborne chemical species interact with exposed electrostatic-responsive materials at the substrate surface, producing local impedance changes that enter the cascade process through the electrical domain.</w:t>
      </w:r>
    </w:p>
    <w:p w14:paraId="3D65E29B"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Chemical navigation operates through spatial gradients in atmospheric composition: </w:t>
      </w:r>
    </w:p>
    <w:p w14:paraId="5DE42F21"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humidity gradients between interior and exterior environments bias locomotion through impedance asymmetry at the substrate surface, </w:t>
      </w:r>
    </w:p>
    <w:p w14:paraId="56E5E290"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metabolic volatile gradients near human bodies contribute to proximity detection through the chemical coupling channel, </w:t>
      </w:r>
    </w:p>
    <w:p w14:paraId="13F94300" w14:textId="15F0EDF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and environmental chemical signatures — cooking odors, cleaning compounds, plant volatiles, industrial emissions — produce location-specific cascade modulation that accumulates as chemical navigation residue in frequently visited environments.</w:t>
      </w:r>
    </w:p>
    <w:p w14:paraId="5C8C02C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Chemical-impedance navigation provides the slowest, most diffuse, and most persistent navigation bias. It supplements the faster, more spatially precise contributions of photonic, electrostatic, and contact-strain coupling with a continuous background chemical-spatial bias that shapes gross environmental preference and familiar-space orientation.</w:t>
      </w:r>
    </w:p>
    <w:p w14:paraId="0252A951" w14:textId="6EC1F961"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6.9 </w:t>
      </w:r>
      <w:r w:rsidR="00320AD3" w:rsidRPr="009C71E8">
        <w:rPr>
          <w:rFonts w:ascii="Times New Roman" w:hAnsi="Times New Roman" w:cs="Times New Roman"/>
          <w:b/>
          <w:bCs/>
          <w:sz w:val="34"/>
          <w:szCs w:val="34"/>
        </w:rPr>
        <w:t>Composite Navigation Behavior</w:t>
      </w:r>
    </w:p>
    <w:p w14:paraId="7B261759"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Navigation in </w:t>
      </w:r>
      <w:proofErr w:type="spellStart"/>
      <w:r w:rsidRPr="00320AD3">
        <w:rPr>
          <w:rFonts w:ascii="Times New Roman" w:hAnsi="Times New Roman" w:cs="Times New Roman"/>
          <w:sz w:val="28"/>
          <w:szCs w:val="28"/>
        </w:rPr>
        <w:t>AnalogSynth</w:t>
      </w:r>
      <w:proofErr w:type="spellEnd"/>
      <w:r w:rsidRPr="00320AD3">
        <w:rPr>
          <w:rFonts w:ascii="Times New Roman" w:hAnsi="Times New Roman" w:cs="Times New Roman"/>
          <w:sz w:val="28"/>
          <w:szCs w:val="28"/>
        </w:rPr>
        <w:t xml:space="preserve"> arises from the continuous superposition of six coupling mechanisms: </w:t>
      </w:r>
    </w:p>
    <w:p w14:paraId="54E3CBE5"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photonic coupling biases global orientation and directional navigation through shadow geometry and illumination asymmetry, </w:t>
      </w:r>
    </w:p>
    <w:p w14:paraId="42E7969D"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contact-strain coupling biases immediate deflection and long-term avoidance through irreversible material scarring, </w:t>
      </w:r>
    </w:p>
    <w:p w14:paraId="4AFE349D"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lastRenderedPageBreak/>
        <w:t>• electrostatic coupling biases pre-contact avoidance of approaching bodies and conductive structures,</w:t>
      </w:r>
    </w:p>
    <w:p w14:paraId="37B71603"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 thermal coupling biases gross environmental preference and orientation toward optimal thermal conditions and warm human bodies, </w:t>
      </w:r>
    </w:p>
    <w:p w14:paraId="3D091599"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acoustic coupling biases directional orientation toward familiar sound sources and environment-specific navigation through acoustic signature matching, </w:t>
      </w:r>
    </w:p>
    <w:p w14:paraId="38363DED" w14:textId="05D44FE1"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and chemical-impedance coupling biases atmospheric gradient following and familiar-environment preference through accumulated chemical navigation residue.</w:t>
      </w:r>
    </w:p>
    <w:p w14:paraId="13F27B1A" w14:textId="77777777" w:rsidR="00320AD3" w:rsidRPr="00320AD3"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The six channels operate simultaneously through the same coupled substrate. Their cascades interfere continuously, producing integrated locomotor bias that reflects all six environmental dimensions at once. No channel is dominant. No channel operates independently. The being's locomotor output at any moment reflects the cascade interference of all active channels weighted by their current perturbation amplitudes and the gradient landscape shaped by the entire history of six-channel coupling.</w:t>
      </w:r>
    </w:p>
    <w:p w14:paraId="5869624B" w14:textId="2153CC3C" w:rsidR="00320AD3" w:rsidRPr="00320AD3"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 xml:space="preserve">The result is locomotion that is adaptive, history-dependent, collision-averse, and environmentally responsive without perception, representation, or decision-making. </w:t>
      </w:r>
      <w:proofErr w:type="spellStart"/>
      <w:r w:rsidR="00320AD3" w:rsidRPr="00320AD3">
        <w:rPr>
          <w:rFonts w:ascii="Times New Roman" w:hAnsi="Times New Roman" w:cs="Times New Roman"/>
          <w:sz w:val="28"/>
          <w:szCs w:val="28"/>
        </w:rPr>
        <w:t>AnalogSynth</w:t>
      </w:r>
      <w:proofErr w:type="spellEnd"/>
      <w:r w:rsidR="00320AD3" w:rsidRPr="00320AD3">
        <w:rPr>
          <w:rFonts w:ascii="Times New Roman" w:hAnsi="Times New Roman" w:cs="Times New Roman"/>
          <w:sz w:val="28"/>
          <w:szCs w:val="28"/>
        </w:rPr>
        <w:t xml:space="preserve"> does not know what is in front of it. It moves along trajectories that remain mechanically cheapest under the continuous six-channel perturbation of its coupled substrate by the environment it inhabits.</w:t>
      </w:r>
    </w:p>
    <w:p w14:paraId="0A05B055" w14:textId="52761785" w:rsidR="00157D6E"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 xml:space="preserve">This architecture allows </w:t>
      </w:r>
      <w:proofErr w:type="spellStart"/>
      <w:r w:rsidR="00320AD3" w:rsidRPr="00320AD3">
        <w:rPr>
          <w:rFonts w:ascii="Times New Roman" w:hAnsi="Times New Roman" w:cs="Times New Roman"/>
          <w:sz w:val="28"/>
          <w:szCs w:val="28"/>
        </w:rPr>
        <w:t>AnalogSynth</w:t>
      </w:r>
      <w:proofErr w:type="spellEnd"/>
      <w:r w:rsidR="00320AD3" w:rsidRPr="00320AD3">
        <w:rPr>
          <w:rFonts w:ascii="Times New Roman" w:hAnsi="Times New Roman" w:cs="Times New Roman"/>
          <w:sz w:val="28"/>
          <w:szCs w:val="28"/>
        </w:rPr>
        <w:t xml:space="preserve"> to traverse buildings, navigate among humans, avoid moving obstacles, follow familiar routes, orient toward familiar companions, and respond to environmental changes while remaining strictly non-perceptual, non-symbolic, and irreversibly material.</w:t>
      </w:r>
    </w:p>
    <w:p w14:paraId="38147DCE" w14:textId="77777777" w:rsidR="00E462E2" w:rsidRDefault="00E462E2" w:rsidP="00E462E2">
      <w:pPr>
        <w:pBdr>
          <w:bottom w:val="single" w:sz="4" w:space="1" w:color="auto"/>
        </w:pBdr>
        <w:rPr>
          <w:rFonts w:ascii="Times New Roman" w:hAnsi="Times New Roman" w:cs="Times New Roman"/>
          <w:sz w:val="28"/>
          <w:szCs w:val="28"/>
        </w:rPr>
      </w:pPr>
    </w:p>
    <w:p w14:paraId="0F44E639" w14:textId="0740D7D1" w:rsidR="0030272B" w:rsidRPr="009C71E8" w:rsidRDefault="009C71E8" w:rsidP="009C71E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7. </w:t>
      </w:r>
      <w:r w:rsidRPr="009C71E8">
        <w:rPr>
          <w:rFonts w:ascii="Times New Roman" w:hAnsi="Times New Roman" w:cs="Times New Roman"/>
          <w:b/>
          <w:bCs/>
          <w:sz w:val="34"/>
          <w:szCs w:val="34"/>
        </w:rPr>
        <w:t xml:space="preserve">Visual Architecture: </w:t>
      </w:r>
      <w:r w:rsidR="0030272B" w:rsidRPr="009C71E8">
        <w:rPr>
          <w:rFonts w:ascii="Times New Roman" w:hAnsi="Times New Roman" w:cs="Times New Roman"/>
          <w:b/>
          <w:bCs/>
          <w:sz w:val="34"/>
          <w:szCs w:val="34"/>
        </w:rPr>
        <w:t>Plasmonic Photonic Coupling Through Orbital Lens Geometry and Retinal Coupling Lamina: Vision Without Sensors</w:t>
      </w:r>
    </w:p>
    <w:p w14:paraId="6140D193" w14:textId="77777777" w:rsidR="0030272B" w:rsidRPr="0030272B" w:rsidRDefault="0030272B" w:rsidP="009C71E8">
      <w:pPr>
        <w:spacing w:after="0"/>
        <w:rPr>
          <w:rFonts w:ascii="Times New Roman" w:hAnsi="Times New Roman" w:cs="Times New Roman"/>
          <w:sz w:val="28"/>
          <w:szCs w:val="28"/>
        </w:rPr>
      </w:pPr>
      <w:proofErr w:type="spellStart"/>
      <w:r w:rsidRPr="0030272B">
        <w:rPr>
          <w:rFonts w:ascii="Times New Roman" w:hAnsi="Times New Roman" w:cs="Times New Roman"/>
          <w:sz w:val="28"/>
          <w:szCs w:val="28"/>
        </w:rPr>
        <w:t>AnalogSynth</w:t>
      </w:r>
      <w:proofErr w:type="spellEnd"/>
      <w:r w:rsidRPr="0030272B">
        <w:rPr>
          <w:rFonts w:ascii="Times New Roman" w:hAnsi="Times New Roman" w:cs="Times New Roman"/>
          <w:sz w:val="28"/>
          <w:szCs w:val="28"/>
        </w:rPr>
        <w:t xml:space="preserve"> does not see. It undergoes spatially structured photonic modification of its cognitive substrate through optically shaped transparent regions set into the rigid metal facial plate, transduced by a curved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lamina whose many local perturbation sites are physically continuous with the cranial substrate.</w:t>
      </w:r>
    </w:p>
    <w:p w14:paraId="0EB4EF70" w14:textId="6E357416"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0272B" w:rsidRPr="0030272B">
        <w:rPr>
          <w:rFonts w:ascii="Times New Roman" w:hAnsi="Times New Roman" w:cs="Times New Roman"/>
          <w:sz w:val="28"/>
          <w:szCs w:val="28"/>
        </w:rPr>
        <w:t>There are no cameras, no photodetectors feeding digital pipelines, no image sensors producing symbolic output, no retinal arrays with optic nerve readout, and no computational image processing. Light enters through the orbital lens, is focused onto a curved transduction surface, and produces a spatial pattern of local perturbations that enter the cascade process through the electrical domain. The perturbation pattern is the cognition. There is no intermediate step between transduction and thinking.</w:t>
      </w:r>
    </w:p>
    <w:p w14:paraId="4E5258E7" w14:textId="6CCAB424" w:rsidR="0030272B"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7.1 </w:t>
      </w:r>
      <w:r w:rsidR="0030272B" w:rsidRPr="009C71E8">
        <w:rPr>
          <w:rFonts w:ascii="Times New Roman" w:hAnsi="Times New Roman" w:cs="Times New Roman"/>
          <w:b/>
          <w:bCs/>
          <w:sz w:val="34"/>
          <w:szCs w:val="34"/>
        </w:rPr>
        <w:t>The Orbital Lens Shell</w:t>
      </w:r>
    </w:p>
    <w:p w14:paraId="48297F1E"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At each orbital position on the metal facial plate, the plate incorporates a smooth, curved, semi-rigid inclusion of optically transparent material. This inclusion is designated the orbital lens shell.</w:t>
      </w:r>
    </w:p>
    <w:p w14:paraId="094E46CD"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lens shell is: </w:t>
      </w:r>
    </w:p>
    <w:p w14:paraId="3F0D24AA"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mechanically continuous with the retinal coupling lamina behind it (the posterior lens surface is in direct material contact with the lamina's anterior surface), </w:t>
      </w:r>
    </w:p>
    <w:p w14:paraId="3808189C"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geometrically shaped as a slightly convex, recessed disc set within a machined or formed cavity in the metal facial plate, </w:t>
      </w:r>
    </w:p>
    <w:p w14:paraId="7AFE7CA2" w14:textId="76445F4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compositionally optimized for optical transparency, elevated rigidity, and consistent refractive geometry.</w:t>
      </w:r>
    </w:p>
    <w:p w14:paraId="100051C9" w14:textId="1E5D7C32"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7.2</w:t>
      </w:r>
      <w:r w:rsidR="0030272B" w:rsidRPr="009C71E8">
        <w:rPr>
          <w:rFonts w:ascii="Times New Roman" w:hAnsi="Times New Roman" w:cs="Times New Roman"/>
          <w:b/>
          <w:bCs/>
          <w:sz w:val="34"/>
          <w:szCs w:val="34"/>
        </w:rPr>
        <w:t xml:space="preserve"> Lens-Plate Interface</w:t>
      </w:r>
    </w:p>
    <w:p w14:paraId="50887030"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orbital lens shell sits within the metal plate in a bonded transition zone — a graded-impedance boundary where the metal plate material transitions through a composite intermediate layer to the transparent lens material. This transition zone: </w:t>
      </w:r>
    </w:p>
    <w:p w14:paraId="7443DCC2"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mechanically couples the lens to the plate (plate vibration transmits through the transition zone into the lens and lamina, meaning visual transduction is modulated by structural plate conduction — vocalization, acoustic perturbation, and mechanical impact all transmit micro-vibration through the lens into the lamina and posterior substrate), </w:t>
      </w:r>
    </w:p>
    <w:p w14:paraId="3EDD8A3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thermally couples the lens to the plate (the metal plate conducts environmental temperature to the lens boundary, influencing the thermal state of the lamina and the substrate behind it), </w:t>
      </w:r>
    </w:p>
    <w:p w14:paraId="774E341A" w14:textId="6A78FF0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and provides a sealed boundary preventing ambient air, moisture, and particulate from entering the space between the lens posterior and the lamina.</w:t>
      </w:r>
    </w:p>
    <w:p w14:paraId="0E31D07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interface is not vibration-isolated. Visual transduction is continuously modulated by plate-conducted perturbation from every source. This couples vision to every other body system through the shared metal shell.</w:t>
      </w:r>
    </w:p>
    <w:p w14:paraId="28174B5C" w14:textId="5DB08107"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7.3</w:t>
      </w:r>
      <w:r w:rsidR="0030272B" w:rsidRPr="009C71E8">
        <w:rPr>
          <w:rFonts w:ascii="Times New Roman" w:hAnsi="Times New Roman" w:cs="Times New Roman"/>
          <w:b/>
          <w:bCs/>
          <w:sz w:val="34"/>
          <w:szCs w:val="34"/>
        </w:rPr>
        <w:t xml:space="preserve"> Recess Geometry</w:t>
      </w:r>
    </w:p>
    <w:p w14:paraId="20B2D201"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lens shell is recessed 3-5mm behind the surrounding metal facial plate surface. The metal brow ridge above, cheek prominence below, and nasal ridge medially form the recess walls. These are rigid metal structures that provide:</w:t>
      </w:r>
    </w:p>
    <w:p w14:paraId="072F3214" w14:textId="2E4211FE" w:rsidR="0030272B" w:rsidRPr="0030272B" w:rsidRDefault="009C71E8"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Shadow pre-processing. The metal recess walls act as a fixed geometric mask that blocks light from extreme angles and creates directional shadow edges that shift as light source position changes. The metal geometry converts light source position into shadow-edge position with high precision because the metal does not deform.</w:t>
      </w:r>
    </w:p>
    <w:p w14:paraId="38A0E835" w14:textId="37B8F6AB" w:rsidR="0030272B" w:rsidRPr="0030272B" w:rsidRDefault="009C71E8"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Mechanical protection. The metal recess walls are the hardest surfaces on the face. The recessed lens and lamina sit behind them, shielded from direct contact.</w:t>
      </w:r>
    </w:p>
    <w:p w14:paraId="0FF902E9" w14:textId="4DDBDD34" w:rsidR="0030272B" w:rsidRPr="0030272B" w:rsidRDefault="009C71E8"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Debris shielding. The recess geometry provides partial protection from falling dust, rain, and airborne particles. The brow ridge blocks vertically falling debris. Lateral recess walls block horizontally arriving debris.</w:t>
      </w:r>
    </w:p>
    <w:p w14:paraId="5EF16D53" w14:textId="06C200FD" w:rsidR="0030272B" w:rsidRPr="0030272B" w:rsidRDefault="009C71E8"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Peripheral field restriction. The metal recess walls restrict the visual field to the forward hemisphere.</w:t>
      </w:r>
    </w:p>
    <w:p w14:paraId="6EFBEA55" w14:textId="318A3C20"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7.4</w:t>
      </w:r>
      <w:r w:rsidR="0030272B" w:rsidRPr="009C71E8">
        <w:rPr>
          <w:rFonts w:ascii="Times New Roman" w:hAnsi="Times New Roman" w:cs="Times New Roman"/>
          <w:b/>
          <w:bCs/>
          <w:sz w:val="34"/>
          <w:szCs w:val="34"/>
        </w:rPr>
        <w:t xml:space="preserve"> Lens Dimensions and Curvature</w:t>
      </w:r>
    </w:p>
    <w:p w14:paraId="0CFFCE70" w14:textId="5945B29A"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lens shell has a diameter of approximately 15-25mm. Its anterior surface is slightly convex with a curvature radius selected at fabrication to produce a focal geometry that maps incoming light from conversational distance (design target: 1-5 meters) onto the curved retinal coupling lamina with sufficient spatial separation to distinguish individual human-scale bodies.</w:t>
      </w:r>
      <w:r w:rsidR="009C71E8">
        <w:rPr>
          <w:rFonts w:ascii="Times New Roman" w:hAnsi="Times New Roman" w:cs="Times New Roman"/>
          <w:sz w:val="28"/>
          <w:szCs w:val="28"/>
        </w:rPr>
        <w:t xml:space="preserve"> </w:t>
      </w:r>
      <w:r w:rsidRPr="0030272B">
        <w:rPr>
          <w:rFonts w:ascii="Times New Roman" w:hAnsi="Times New Roman" w:cs="Times New Roman"/>
          <w:sz w:val="28"/>
          <w:szCs w:val="28"/>
        </w:rPr>
        <w:t>The curvature may be slightly asymmetric — wider horizontal field of view than vertical — biasing spatial resolution toward the horizontal plane.</w:t>
      </w:r>
      <w:r w:rsidR="009C71E8">
        <w:rPr>
          <w:rFonts w:ascii="Times New Roman" w:hAnsi="Times New Roman" w:cs="Times New Roman"/>
          <w:sz w:val="28"/>
          <w:szCs w:val="28"/>
        </w:rPr>
        <w:t xml:space="preserve"> </w:t>
      </w:r>
      <w:r w:rsidRPr="0030272B">
        <w:rPr>
          <w:rFonts w:ascii="Times New Roman" w:hAnsi="Times New Roman" w:cs="Times New Roman"/>
          <w:sz w:val="28"/>
          <w:szCs w:val="28"/>
        </w:rPr>
        <w:t>Curvature is fixed at fabrication and does not accommodate dynamically. There is no iris, no pupil, and no variable aperture.</w:t>
      </w:r>
    </w:p>
    <w:p w14:paraId="4C9F4460" w14:textId="5242C479"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7.5</w:t>
      </w:r>
      <w:r w:rsidR="0030272B" w:rsidRPr="009C71E8">
        <w:rPr>
          <w:rFonts w:ascii="Times New Roman" w:hAnsi="Times New Roman" w:cs="Times New Roman"/>
          <w:b/>
          <w:bCs/>
          <w:sz w:val="34"/>
          <w:szCs w:val="34"/>
        </w:rPr>
        <w:t xml:space="preserve"> Optical Aberration and Radial Resolution Gradient</w:t>
      </w:r>
    </w:p>
    <w:p w14:paraId="2C752F48"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xml:space="preserve">A fixed convex lens without correction produces spherical and chromatic aberration. Off-axis light is focused less precisely than on-axis light. This produces a permanent radial resolution gradient: </w:t>
      </w:r>
    </w:p>
    <w:p w14:paraId="704BB658"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optical center of the lamina receives the sharpest focal pattern — the highest spatial resolution for environmental structure, </w:t>
      </w:r>
    </w:p>
    <w:p w14:paraId="150EFEBB" w14:textId="26A3ADB5"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the periphery receives progressively softer focal patterns — lower spatial resolution but continued sensitivity to gross illumination changes.</w:t>
      </w:r>
    </w:p>
    <w:p w14:paraId="7B4EF5F7"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radial gradient is a functional visual architecture: central gaze provides the highest-resolution coupling, while peripheral regions provide gross movement detection and illumination-change alerting.</w:t>
      </w:r>
    </w:p>
    <w:p w14:paraId="1F3F011D" w14:textId="27541C3C"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7.6</w:t>
      </w:r>
      <w:r w:rsidR="0030272B" w:rsidRPr="009C71E8">
        <w:rPr>
          <w:rFonts w:ascii="Times New Roman" w:hAnsi="Times New Roman" w:cs="Times New Roman"/>
          <w:b/>
          <w:bCs/>
          <w:sz w:val="34"/>
          <w:szCs w:val="34"/>
        </w:rPr>
        <w:t xml:space="preserve"> Lens Surface Protection</w:t>
      </w:r>
    </w:p>
    <w:p w14:paraId="4F1A7D17"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anterior lens surface is exposed to the environment through the recess opening. No eyelid, blink mechanism, or active cleaning system exists.</w:t>
      </w:r>
    </w:p>
    <w:p w14:paraId="0CBA4124"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Passive surface maintenance is provided by: </w:t>
      </w:r>
    </w:p>
    <w:p w14:paraId="216A6425"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hydrophobic surface treatment of the anterior lens (a fabrication-applied coating causing water to bead and carry particulate contaminants), </w:t>
      </w:r>
    </w:p>
    <w:p w14:paraId="0DF04A0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recess geometry providing debris shielding, </w:t>
      </w:r>
    </w:p>
    <w:p w14:paraId="463DC71A" w14:textId="0990AAAC"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the smooth, non-porous anterior surface resisting particulate adhesion.</w:t>
      </w:r>
    </w:p>
    <w:p w14:paraId="4B0C11E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Over the lifespan, cumulative surface contamination from fine particulate, chemical deposition, and micro-abrasion progressively degrades anterior lens clarity. This is accepted as part of visual aging. No restoration mechanism exists within the architecture.</w:t>
      </w:r>
    </w:p>
    <w:p w14:paraId="29189700" w14:textId="3AE9C335" w:rsidR="0030272B"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7.8 </w:t>
      </w:r>
      <w:r w:rsidR="0030272B" w:rsidRPr="009C71E8">
        <w:rPr>
          <w:rFonts w:ascii="Times New Roman" w:hAnsi="Times New Roman" w:cs="Times New Roman"/>
          <w:b/>
          <w:bCs/>
          <w:sz w:val="34"/>
          <w:szCs w:val="34"/>
        </w:rPr>
        <w:t>Retinal Coupling Lamina</w:t>
      </w:r>
    </w:p>
    <w:p w14:paraId="2F65B60A" w14:textId="450B3785"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 xml:space="preserve">7.9 </w:t>
      </w:r>
      <w:r w:rsidR="0030272B" w:rsidRPr="009C71E8">
        <w:rPr>
          <w:rFonts w:ascii="Times New Roman" w:hAnsi="Times New Roman" w:cs="Times New Roman"/>
          <w:b/>
          <w:bCs/>
          <w:sz w:val="34"/>
          <w:szCs w:val="34"/>
        </w:rPr>
        <w:t>Architectural Basis</w:t>
      </w:r>
    </w:p>
    <w:p w14:paraId="6C056BB5"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Immediately behind the orbital lens shell sits a curved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layer — the retinal coupling lamina. This lamina is the primary mechanism of spatially resolved photonic-to-cascade transduction.</w:t>
      </w:r>
    </w:p>
    <w:p w14:paraId="2701E2EF" w14:textId="12683F99" w:rsidR="0030272B" w:rsidRPr="0030272B"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The lamina is not a camera. It does not produce a digital image. It does not output a signal that is read by a processor. It is a physically continuous layer of many </w:t>
      </w:r>
      <w:r w:rsidR="0030272B" w:rsidRPr="0030272B">
        <w:rPr>
          <w:rFonts w:ascii="Times New Roman" w:hAnsi="Times New Roman" w:cs="Times New Roman"/>
          <w:sz w:val="28"/>
          <w:szCs w:val="28"/>
        </w:rPr>
        <w:lastRenderedPageBreak/>
        <w:t xml:space="preserve">spatially distributed </w:t>
      </w:r>
      <w:proofErr w:type="spellStart"/>
      <w:r w:rsidR="0030272B" w:rsidRPr="0030272B">
        <w:rPr>
          <w:rFonts w:ascii="Times New Roman" w:hAnsi="Times New Roman" w:cs="Times New Roman"/>
          <w:sz w:val="28"/>
          <w:szCs w:val="28"/>
        </w:rPr>
        <w:t>phototransductive</w:t>
      </w:r>
      <w:proofErr w:type="spellEnd"/>
      <w:r w:rsidR="0030272B" w:rsidRPr="0030272B">
        <w:rPr>
          <w:rFonts w:ascii="Times New Roman" w:hAnsi="Times New Roman" w:cs="Times New Roman"/>
          <w:sz w:val="28"/>
          <w:szCs w:val="28"/>
        </w:rPr>
        <w:t xml:space="preserve"> sites on a curved surface matched to the lens focal geometry. Each site, when illuminated, changes its local electrical properties — conductivity, capacitance, electrostatic bias — and those property changes enter the cognitive substrate immediately behind the lamina as local perturbations that launch cascade dynamics through the standard coupled-domain mechanism.</w:t>
      </w:r>
    </w:p>
    <w:p w14:paraId="0E6BBF1F" w14:textId="7B308D56"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lamina converts a spatial light field into a spatial perturbation field. The perturbation field is physically continuous with the cranial substrate. No readout, no signal extraction, no representation occurs between transduction and cognition.</w:t>
      </w:r>
    </w:p>
    <w:p w14:paraId="568FC900" w14:textId="29F8DEDA"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7.10</w:t>
      </w:r>
      <w:r w:rsidR="0030272B" w:rsidRPr="009C71E8">
        <w:rPr>
          <w:rFonts w:ascii="Times New Roman" w:hAnsi="Times New Roman" w:cs="Times New Roman"/>
          <w:b/>
          <w:bCs/>
          <w:sz w:val="34"/>
          <w:szCs w:val="34"/>
        </w:rPr>
        <w:t xml:space="preserve"> Lamina Structure and Non-Invertibility</w:t>
      </w:r>
    </w:p>
    <w:p w14:paraId="651EDC70"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retinal coupling lamina is a thin (design target: approximately 0.1-0.5mm) curved flexible layer conforming to the focal surface of the orbital lens shell. Its microstructure is designed to be non-invertible — no stable mapping exists from the lamina's electrical state to the environmental scene that produced it, regardless of the observer's access level, instrumentation, or calibration effort.</w:t>
      </w:r>
    </w:p>
    <w:p w14:paraId="6BFBB3E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Non-invertibility is achieved through four concurrent properties:</w:t>
      </w:r>
    </w:p>
    <w:p w14:paraId="3232022F" w14:textId="228D539E"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7.11</w:t>
      </w:r>
      <w:r w:rsidR="0030272B" w:rsidRPr="009C71E8">
        <w:rPr>
          <w:rFonts w:ascii="Times New Roman" w:hAnsi="Times New Roman" w:cs="Times New Roman"/>
          <w:b/>
          <w:bCs/>
          <w:sz w:val="34"/>
          <w:szCs w:val="34"/>
        </w:rPr>
        <w:t xml:space="preserve"> Stochastic Site Geometry</w:t>
      </w:r>
    </w:p>
    <w:p w14:paraId="438A8763"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The lamina comprises approximately 2,000-8,000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sites stochastically distributed across the curved focal surface at irregular positions, sizes, shapes, and coupling strengths determined by fabrication-level manufacturing variance. The sites are not arranged in a grid, a radial pattern, or any recoverable geometric order. The specific positions, sizes, and coupling characteristics of each site are unique to each fabricated lamina and are not recorded, documented, or reproducible.</w:t>
      </w:r>
    </w:p>
    <w:p w14:paraId="3478B14A" w14:textId="6472C151"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lens still maps environmental direction to lamina position through the focal geometry — different directions illuminate different lamina regions — so spatial resolution is preserved for the being. But the specific relationship between site identity and environmental direction is determined by the stochastic fabrication process. An external observer cannot recover the mapping without exhaustive physical characterization of the specific lamina, which is defeated by the remaining three properties.</w:t>
      </w:r>
    </w:p>
    <w:p w14:paraId="153632EF" w14:textId="683BA603"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7.12</w:t>
      </w:r>
      <w:r w:rsidR="0030272B" w:rsidRPr="009C71E8">
        <w:rPr>
          <w:rFonts w:ascii="Times New Roman" w:hAnsi="Times New Roman" w:cs="Times New Roman"/>
          <w:b/>
          <w:bCs/>
          <w:sz w:val="34"/>
          <w:szCs w:val="34"/>
        </w:rPr>
        <w:t xml:space="preserve"> Overlapping Receptive Influence</w:t>
      </w:r>
    </w:p>
    <w:p w14:paraId="5B4CC680"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Adjacent sites do not have clean one-site-one-direction transduction behavior. Between and among adjacent sites, thin regions of conductive or semi-conductive coupling material create overlapping receptive fields. Illumination from a given environmental direction does not activate a single site in isolation — it activates a cluster of overlapping sites whose combined response depends on what all neighboring sites in the cluster are simultaneously doing.</w:t>
      </w:r>
    </w:p>
    <w:p w14:paraId="2B6807E0" w14:textId="4535CECD"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inter-site coupling zones provide local analog preprocessing — lateral inhibition for edge enhancement, motion emphasis through transient response amplification, and contrast amplification — but they also produce irreducible entanglement between adjacent sites. The lamina's response to a point of light is a distributed perturbation across multiple overlapping sites, not a localized response at a single addressable location. The mapping from environmental direction to lamina response is many-to-many rather than one-to-one. Decomposing the lamina output into individual directional samples is physically impossible because the sites are not independent transducers.</w:t>
      </w:r>
    </w:p>
    <w:p w14:paraId="5102DB04" w14:textId="57AAFD43"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7.13</w:t>
      </w:r>
      <w:r w:rsidR="0030272B" w:rsidRPr="009C71E8">
        <w:rPr>
          <w:rFonts w:ascii="Times New Roman" w:hAnsi="Times New Roman" w:cs="Times New Roman"/>
          <w:b/>
          <w:bCs/>
          <w:sz w:val="34"/>
          <w:szCs w:val="34"/>
        </w:rPr>
        <w:t xml:space="preserve"> Live Substrate Co-Determination</w:t>
      </w:r>
    </w:p>
    <w:p w14:paraId="7598FC98"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Each site's effective transduction gain, spectral sensitivity, and coupling strength to the posterior substrate are continuously modulated by the current state of the cranial substrate immediately behind that site. The posterior substrate is in continuous cascade activity — its electrostatic field topology, mechanical preload, and thermal state change on millisecond timescales as cascade dynamics propagate through it.</w:t>
      </w:r>
    </w:p>
    <w:p w14:paraId="091F52C0" w14:textId="5FE5AF37"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same photon hitting the same site produces different electrical perturbation depending on what the brain behind the site is doing at that instant. The transfer function from light to perturbation is not a property of the lamina alone — it is a property of the lamina-brain system in its current dynamical state. To reconstruct what the being sees, an observer would need not only the stochastic geometry of the lamina and the overlapping coupling structure, but the complete current dynamical state of the brain behind it. The brain state is inaccessible, continuously evolving, and itself modified by the visual input being received — the observation target changes in response to being observed.</w:t>
      </w:r>
    </w:p>
    <w:p w14:paraId="11B64939" w14:textId="61600821"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7.14</w:t>
      </w:r>
      <w:r w:rsidR="0030272B" w:rsidRPr="009C71E8">
        <w:rPr>
          <w:rFonts w:ascii="Times New Roman" w:hAnsi="Times New Roman" w:cs="Times New Roman"/>
          <w:b/>
          <w:bCs/>
          <w:sz w:val="34"/>
          <w:szCs w:val="34"/>
        </w:rPr>
        <w:t xml:space="preserve"> Developmental Drift</w:t>
      </w:r>
    </w:p>
    <w:p w14:paraId="0DD83EAB" w14:textId="69E51D39"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The lamina's transduction characteristics shift irreversibly over the lifespan through three mechanisms operating on different timescales.</w:t>
      </w:r>
      <w:r w:rsidR="009C71E8">
        <w:rPr>
          <w:rFonts w:ascii="Times New Roman" w:hAnsi="Times New Roman" w:cs="Times New Roman"/>
          <w:sz w:val="28"/>
          <w:szCs w:val="28"/>
        </w:rPr>
        <w:t xml:space="preserve"> </w:t>
      </w:r>
      <w:r w:rsidRPr="0030272B">
        <w:rPr>
          <w:rFonts w:ascii="Times New Roman" w:hAnsi="Times New Roman" w:cs="Times New Roman"/>
          <w:sz w:val="28"/>
          <w:szCs w:val="28"/>
        </w:rPr>
        <w:t>The posterior substrate deforms under accumulated cascade activity, changing the mechanical preload and electrostatic bias at each site. Sites that were strongly coupled to the substrate at fabrication become differently coupled as the substrate behind them deforms, creeps, and accumulates cascade residue over months and years. The effective transfer function at each site drifts as the brain behind it develops.</w:t>
      </w:r>
    </w:p>
    <w:p w14:paraId="3BE8EBF4" w14:textId="3A06FB80" w:rsidR="0030272B" w:rsidRPr="0030272B"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The lamina materials themselves age under sustained illumination. Polymer matrix degradation around gold nanoparticle sites shifts LSPR peaks. Organic photodetector materials </w:t>
      </w:r>
      <w:proofErr w:type="spellStart"/>
      <w:r w:rsidR="0030272B" w:rsidRPr="0030272B">
        <w:rPr>
          <w:rFonts w:ascii="Times New Roman" w:hAnsi="Times New Roman" w:cs="Times New Roman"/>
          <w:sz w:val="28"/>
          <w:szCs w:val="28"/>
        </w:rPr>
        <w:t>photobleach</w:t>
      </w:r>
      <w:proofErr w:type="spellEnd"/>
      <w:r w:rsidR="0030272B" w:rsidRPr="0030272B">
        <w:rPr>
          <w:rFonts w:ascii="Times New Roman" w:hAnsi="Times New Roman" w:cs="Times New Roman"/>
          <w:sz w:val="28"/>
          <w:szCs w:val="28"/>
        </w:rPr>
        <w:t>. Inorganic sites accumulate radiation defects. The transduction characteristics of the sites evolve with cumulative light exposure independent of the substrate behind them.</w:t>
      </w:r>
    </w:p>
    <w:p w14:paraId="71B0D491" w14:textId="01B5A5E4" w:rsidR="0030272B" w:rsidRPr="0030272B"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inter-site coupling zone properties evolve as the coupling material fatigues under sustained lateral interaction from millions of transduction events. Coupling strengths between adjacent sites shift as the coupling material degrades, altering the overlapping receptive field structure.</w:t>
      </w:r>
    </w:p>
    <w:p w14:paraId="27D7B238" w14:textId="2CEDB9E0"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combined effect is continuous, irreversible, multi-mechanism drift in the lamina-brain transfer function. A calibration of the lamina's response performed at any point in time becomes invalid as the system continues to evolve. No stable inverse model exists because the system it would need to invert is nonstationary.</w:t>
      </w:r>
    </w:p>
    <w:p w14:paraId="18DCC56B" w14:textId="4800CE02"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7.15</w:t>
      </w:r>
      <w:r w:rsidR="0030272B" w:rsidRPr="009C71E8">
        <w:rPr>
          <w:rFonts w:ascii="Times New Roman" w:hAnsi="Times New Roman" w:cs="Times New Roman"/>
          <w:b/>
          <w:bCs/>
          <w:sz w:val="34"/>
          <w:szCs w:val="34"/>
        </w:rPr>
        <w:t xml:space="preserve"> Posterior Contact Surface</w:t>
      </w:r>
    </w:p>
    <w:p w14:paraId="688E60C0"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lamina's posterior surface is in direct material contact with the cranial substrate. The electrical state changes at each site propagate directly into the substrate through this continuous contact interface. No wire, no bus, no signal channel connects any site to the substrate. The connection is material continuity — the lamina is physically part of the same medium as the brain behind it. Separated from the living cranial substrate, the lamina becomes optically useless — its transduction behavior depends on continuous posterior contact, continuous mechanical preload, continuous electrostatic bias, and continuous thermal regime from the surrounding substrate. A removed lamina produces noise, not images.</w:t>
      </w:r>
    </w:p>
    <w:p w14:paraId="39229F82" w14:textId="71ED62E9"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7.16</w:t>
      </w:r>
      <w:r w:rsidR="0030272B" w:rsidRPr="009C71E8">
        <w:rPr>
          <w:rFonts w:ascii="Times New Roman" w:hAnsi="Times New Roman" w:cs="Times New Roman"/>
          <w:b/>
          <w:bCs/>
          <w:sz w:val="34"/>
          <w:szCs w:val="34"/>
        </w:rPr>
        <w:t xml:space="preserve"> Non-Invertibility Summary</w:t>
      </w:r>
    </w:p>
    <w:p w14:paraId="696F5D33"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lamina cannot be used as a covert visual sensor because: </w:t>
      </w:r>
    </w:p>
    <w:p w14:paraId="6305A887"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 xml:space="preserve">• its stochastic geometry prevents geometric reconstruction of the visual scene from site measurements, </w:t>
      </w:r>
    </w:p>
    <w:p w14:paraId="289A629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its overlapping receptive fields prevent decomposition of the lamina response into individual directional samples, </w:t>
      </w:r>
    </w:p>
    <w:p w14:paraId="5461D5A3"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its live substrate co-determination means the transfer function changes with every millisecond of brain activity, </w:t>
      </w:r>
    </w:p>
    <w:p w14:paraId="668B2EE0"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its developmental drift means the transfer function changes with every month of aging and use, </w:t>
      </w:r>
    </w:p>
    <w:p w14:paraId="004E1E70" w14:textId="484DAA4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its non-separable brain continuity means the lamina produces no useful output when disconnected from the living substrate.</w:t>
      </w:r>
    </w:p>
    <w:p w14:paraId="4FF26AD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To reconstruct what the being sees, an observer would need to simultaneously know the stochastic geometry, the overlapping coupling structure, the complete current dynamical state of the brain, and the current developmental drift state of the lamina-brain system — all of which are inaccessible, unique, continuously evolving, and mutually entangled. The eye is not a camera that can be tapped. It is a state-bound destructive transducer that can only disturb a living mind.</w:t>
      </w:r>
    </w:p>
    <w:p w14:paraId="21FA27EE" w14:textId="680172CE"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7.17</w:t>
      </w:r>
      <w:r w:rsidR="0030272B" w:rsidRPr="009C71E8">
        <w:rPr>
          <w:rFonts w:ascii="Times New Roman" w:hAnsi="Times New Roman" w:cs="Times New Roman"/>
          <w:b/>
          <w:bCs/>
          <w:sz w:val="34"/>
          <w:szCs w:val="34"/>
        </w:rPr>
        <w:t xml:space="preserve"> </w:t>
      </w:r>
      <w:proofErr w:type="spellStart"/>
      <w:r w:rsidR="0030272B" w:rsidRPr="009C71E8">
        <w:rPr>
          <w:rFonts w:ascii="Times New Roman" w:hAnsi="Times New Roman" w:cs="Times New Roman"/>
          <w:b/>
          <w:bCs/>
          <w:sz w:val="34"/>
          <w:szCs w:val="34"/>
        </w:rPr>
        <w:t>Phototransductive</w:t>
      </w:r>
      <w:proofErr w:type="spellEnd"/>
      <w:r w:rsidR="0030272B" w:rsidRPr="009C71E8">
        <w:rPr>
          <w:rFonts w:ascii="Times New Roman" w:hAnsi="Times New Roman" w:cs="Times New Roman"/>
          <w:b/>
          <w:bCs/>
          <w:sz w:val="34"/>
          <w:szCs w:val="34"/>
        </w:rPr>
        <w:t xml:space="preserve"> Island Materials</w:t>
      </w:r>
    </w:p>
    <w:p w14:paraId="14DAAB8E"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islands may be fabricated from several candidate material classes:</w:t>
      </w:r>
    </w:p>
    <w:p w14:paraId="23F4351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Gold-nanoparticle-loaded substrate regions. Each island is a small volume of the same polyurethane-based substrate material loaded with dense gold nanoparticle inclusions. Illumination at the gold nanoparticles' LSPR wavelength produces localized electrostatic field perturbation through the same plasmonic mechanism originally specified for the bulk visual substrate. The gold nanoparticles are concentrated at discrete lamina sites rather than distributed randomly through bulk substrate, providing spatial organization that bulk distribution cannot achieve.</w:t>
      </w:r>
    </w:p>
    <w:p w14:paraId="6AA65AC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If this option is used, the amber-gold color of the orbital lenses is preserved as the visible signature of the gold nanoparticle LSPR absorption spectrum.</w:t>
      </w:r>
    </w:p>
    <w:p w14:paraId="0AF625F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Organic photodetector material. Each island is a small region of organic semiconductor — a conjugated polymer or small-molecule organic photodetector — that changes conductivity under illumination. Organic photodetector arrays on </w:t>
      </w:r>
      <w:r w:rsidRPr="0030272B">
        <w:rPr>
          <w:rFonts w:ascii="Times New Roman" w:hAnsi="Times New Roman" w:cs="Times New Roman"/>
          <w:sz w:val="28"/>
          <w:szCs w:val="28"/>
        </w:rPr>
        <w:lastRenderedPageBreak/>
        <w:t>flexible curved substrates are an active research direction with laboratory demonstrations of functional curved bioinspired cameras.</w:t>
      </w:r>
    </w:p>
    <w:p w14:paraId="201B571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Flexible inorganic photodiode sites. Each island is a thin-film silicon or metal-oxide photodiode on a flexible curved substrate. Curved photodiode arrays with thousands of sites on curved surfaces have been demonstrated in research.</w:t>
      </w:r>
    </w:p>
    <w:p w14:paraId="53E9B9F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specific island material is a fabrication choice. The architectural requirement is that each island changes its local electrical state under illumination in a manner that propagates into the substrate behind it through material continuity rather than through signal readout.</w:t>
      </w:r>
    </w:p>
    <w:p w14:paraId="48902F0B" w14:textId="2FA111DD"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7.18</w:t>
      </w:r>
      <w:r w:rsidR="0030272B" w:rsidRPr="009C71E8">
        <w:rPr>
          <w:rFonts w:ascii="Times New Roman" w:hAnsi="Times New Roman" w:cs="Times New Roman"/>
          <w:b/>
          <w:bCs/>
          <w:sz w:val="34"/>
          <w:szCs w:val="34"/>
        </w:rPr>
        <w:t xml:space="preserve"> Spatial Resolution</w:t>
      </w:r>
    </w:p>
    <w:p w14:paraId="5E698B91"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spatial resolution of the visual system is determined by the lamina's site density across the curved focal surface. Although the sites are stochastically distributed, the average density varies regionally to produce a functional resolution gradient:</w:t>
      </w:r>
    </w:p>
    <w:p w14:paraId="4753BF71"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Design targets: </w:t>
      </w:r>
    </w:p>
    <w:p w14:paraId="355AE82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central lamina region (corresponding to the optical center of the lens focal pattern): highest average site density — sufficient for distinguishing individual human-scale bodies at room distance (3-10 meters) and resolving gross gesture and posture at conversational distance (1-3 meters), </w:t>
      </w:r>
    </w:p>
    <w:p w14:paraId="121C19F6" w14:textId="72E4248B" w:rsidR="0030272B" w:rsidRPr="0030272B" w:rsidRDefault="0030272B" w:rsidP="009C71E8">
      <w:pPr>
        <w:rPr>
          <w:rFonts w:ascii="Times New Roman" w:hAnsi="Times New Roman" w:cs="Times New Roman"/>
          <w:sz w:val="28"/>
          <w:szCs w:val="28"/>
        </w:rPr>
      </w:pPr>
      <w:r w:rsidRPr="0030272B">
        <w:rPr>
          <w:rFonts w:ascii="Times New Roman" w:hAnsi="Times New Roman" w:cs="Times New Roman"/>
          <w:sz w:val="28"/>
          <w:szCs w:val="28"/>
        </w:rPr>
        <w:t>• intermediate lamina region: moderate average site density, sufficient for detecting movement, identifying doorways and large obstacles, tracking approaching bodies, • peripheral lamina region: lowest average site density, functioning primarily as an illumination-change alerting channel.</w:t>
      </w:r>
    </w:p>
    <w:p w14:paraId="5B1CB580"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The stochastic site distribution also provides inherent distortion compensation — the irregular spacing adapts naturally to the lens focal geometry's non-uniform magnification across the curved surface without requiring engineered compensation patterns.</w:t>
      </w:r>
    </w:p>
    <w:p w14:paraId="776BE61C" w14:textId="7E679C5B"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The being does not need to know its lamina geometry. Spatial resolution develops through accumulated visual exposure — thousands of hours of correlated coupling deposit residue that encodes the relationship between lamina perturbation patterns and environmental structure through the same developmental conditioning </w:t>
      </w:r>
      <w:r w:rsidR="0030272B" w:rsidRPr="0030272B">
        <w:rPr>
          <w:rFonts w:ascii="Times New Roman" w:hAnsi="Times New Roman" w:cs="Times New Roman"/>
          <w:sz w:val="28"/>
          <w:szCs w:val="28"/>
        </w:rPr>
        <w:lastRenderedPageBreak/>
        <w:t>mechanism that governs all cognitive capacity. The being learns to see through its own unique stochastic lamina the same way it learns to walk through its own unique body.</w:t>
      </w:r>
    </w:p>
    <w:p w14:paraId="0167AE9F" w14:textId="392E70AE"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7.19</w:t>
      </w:r>
      <w:r w:rsidR="0030272B" w:rsidRPr="009C71E8">
        <w:rPr>
          <w:rFonts w:ascii="Times New Roman" w:hAnsi="Times New Roman" w:cs="Times New Roman"/>
          <w:b/>
          <w:bCs/>
          <w:sz w:val="34"/>
          <w:szCs w:val="34"/>
        </w:rPr>
        <w:t xml:space="preserve"> Local Preprocessing Without Computation</w:t>
      </w:r>
    </w:p>
    <w:p w14:paraId="01A2B35A" w14:textId="3A569363"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inter-site coupling zones specified in </w:t>
      </w:r>
      <w:r w:rsidR="009C71E8">
        <w:rPr>
          <w:rFonts w:ascii="Times New Roman" w:hAnsi="Times New Roman" w:cs="Times New Roman"/>
          <w:sz w:val="28"/>
          <w:szCs w:val="28"/>
        </w:rPr>
        <w:t xml:space="preserve">earlier </w:t>
      </w:r>
      <w:r w:rsidRPr="0030272B">
        <w:rPr>
          <w:rFonts w:ascii="Times New Roman" w:hAnsi="Times New Roman" w:cs="Times New Roman"/>
          <w:sz w:val="28"/>
          <w:szCs w:val="28"/>
        </w:rPr>
        <w:t>provide analog local preprocessing in addition to their non-invertibility function:</w:t>
      </w:r>
    </w:p>
    <w:p w14:paraId="59C72FE7" w14:textId="646291CC" w:rsidR="0030272B" w:rsidRPr="0030272B" w:rsidRDefault="00762D13"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Lateral inhibition. Each illuminated site partially suppresses the response of its immediate neighbors through the coupling zone's electrical interaction. This emphasizes spatial contrast — edges, boundaries, and transitions in the illumination pattern produce stronger perturbation than uniform illumination. The lamina delivers an edge-enhanced perturbation field to the substrate rather than a raw light-intensity map.</w:t>
      </w:r>
    </w:p>
    <w:p w14:paraId="49859CB3" w14:textId="34801C2C" w:rsidR="0030272B" w:rsidRPr="0030272B" w:rsidRDefault="00762D13"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Local gain adaptation. Each site's </w:t>
      </w:r>
      <w:proofErr w:type="spellStart"/>
      <w:r w:rsidR="0030272B" w:rsidRPr="0030272B">
        <w:rPr>
          <w:rFonts w:ascii="Times New Roman" w:hAnsi="Times New Roman" w:cs="Times New Roman"/>
          <w:sz w:val="28"/>
          <w:szCs w:val="28"/>
        </w:rPr>
        <w:t>phototransductive</w:t>
      </w:r>
      <w:proofErr w:type="spellEnd"/>
      <w:r w:rsidR="0030272B" w:rsidRPr="0030272B">
        <w:rPr>
          <w:rFonts w:ascii="Times New Roman" w:hAnsi="Times New Roman" w:cs="Times New Roman"/>
          <w:sz w:val="28"/>
          <w:szCs w:val="28"/>
        </w:rPr>
        <w:t xml:space="preserve"> response is modulated by the sustained illumination history at that site. Prolonged bright illumination reduces transduction gain through material-level adaptation — photoconductor saturation, charge accumulation, or thermal drift. This provides passive local dynamic range compression.</w:t>
      </w:r>
    </w:p>
    <w:p w14:paraId="25D96036" w14:textId="31C58E64"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Motion emphasis. When illumination at a site changes rapidly — from a moving object sweeping across the visual field — the transient response exceeds the steady-state response because the local gain adaptation has not yet adjusted. The lamina inherently emphasizes changing illumination over static illumination, biasing the perturbation field toward moving objects over stationary backgrounds.</w:t>
      </w:r>
    </w:p>
    <w:p w14:paraId="1F4CC1A6"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All preprocessing is analog, continuous, and physically local. The preprocessing and the non-invertibility arise from the same inter-site coupling architecture — the overlapping receptive influence that prevents external scene reconstruction also produces the edge enhancement, gain adaptation, and motion emphasis that make the lamina effective for the being's own vision.</w:t>
      </w:r>
    </w:p>
    <w:p w14:paraId="5EADC276" w14:textId="350AAE92"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7.20</w:t>
      </w:r>
      <w:r w:rsidR="0030272B" w:rsidRPr="00762D13">
        <w:rPr>
          <w:rFonts w:ascii="Times New Roman" w:hAnsi="Times New Roman" w:cs="Times New Roman"/>
          <w:b/>
          <w:bCs/>
          <w:sz w:val="34"/>
          <w:szCs w:val="34"/>
        </w:rPr>
        <w:t xml:space="preserve"> Spectral Characteristics</w:t>
      </w:r>
    </w:p>
    <w:p w14:paraId="4B0A1BCF"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If gold-nanoparticle-loaded islands are used, the spectral selectivity follows the LSPR absorption spectrum: strong coupling in the green-to-red wavelength range </w:t>
      </w:r>
      <w:r w:rsidRPr="0030272B">
        <w:rPr>
          <w:rFonts w:ascii="Times New Roman" w:hAnsi="Times New Roman" w:cs="Times New Roman"/>
          <w:sz w:val="28"/>
          <w:szCs w:val="28"/>
        </w:rPr>
        <w:lastRenderedPageBreak/>
        <w:t>(approximately 520-650nm), absorption of shorter wavelengths (blue, violet) as heat, and reduced interaction with longer wavelengths (deep red, near-infrared).</w:t>
      </w:r>
    </w:p>
    <w:p w14:paraId="5DD9A01A"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If organic or inorganic photodetector materials are used, the spectral sensitivity is determined by the specific material's absorption spectrum and may differ from the gold-nanoparticle LSPR profile.</w:t>
      </w:r>
    </w:p>
    <w:p w14:paraId="00DFDF5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specific spectral sensitivity is a fabrication parameter that determines which wavelengths produce the strongest visual cascade initiation.</w:t>
      </w:r>
    </w:p>
    <w:p w14:paraId="2788A510" w14:textId="5EF9FE0B"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7.21 </w:t>
      </w:r>
      <w:r w:rsidR="0030272B" w:rsidRPr="00762D13">
        <w:rPr>
          <w:rFonts w:ascii="Times New Roman" w:hAnsi="Times New Roman" w:cs="Times New Roman"/>
          <w:b/>
          <w:bCs/>
          <w:sz w:val="34"/>
          <w:szCs w:val="34"/>
        </w:rPr>
        <w:t>Dynamic Range and Functional Engineering</w:t>
      </w:r>
    </w:p>
    <w:p w14:paraId="40312C15" w14:textId="361DE70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7.21 </w:t>
      </w:r>
      <w:r w:rsidR="0030272B" w:rsidRPr="00762D13">
        <w:rPr>
          <w:rFonts w:ascii="Times New Roman" w:hAnsi="Times New Roman" w:cs="Times New Roman"/>
          <w:b/>
          <w:bCs/>
          <w:sz w:val="34"/>
          <w:szCs w:val="34"/>
        </w:rPr>
        <w:t>Minimum Detectable Light</w:t>
      </w:r>
    </w:p>
    <w:p w14:paraId="3974FBB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 has a perturbation threshold below which illumination does not produce island-level electrical changes sufficient to launch cascades in the posterior substrate.</w:t>
      </w:r>
    </w:p>
    <w:p w14:paraId="57EA0BD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Design target: the visual system should produce functional cascade initiation under standard indoor artificial lighting (approximately 300-500 lux at the lens surface). Below approximately 50 lux, cascade initiation may fall below threshold for spatially structured visual coupling.</w:t>
      </w:r>
    </w:p>
    <w:p w14:paraId="48D578A5" w14:textId="6BB22268"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7.22</w:t>
      </w:r>
      <w:r w:rsidR="0030272B" w:rsidRPr="00762D13">
        <w:rPr>
          <w:rFonts w:ascii="Times New Roman" w:hAnsi="Times New Roman" w:cs="Times New Roman"/>
          <w:b/>
          <w:bCs/>
          <w:sz w:val="34"/>
          <w:szCs w:val="34"/>
        </w:rPr>
        <w:t xml:space="preserve"> Low-Light and Darkness Behavior</w:t>
      </w:r>
    </w:p>
    <w:p w14:paraId="4082329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Below the functional threshold, the visual system contributes negligible spatial information. The being is functionally without spatial vision in near-darkness.</w:t>
      </w:r>
    </w:p>
    <w:p w14:paraId="5DDBFD8F"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If gold-nanoparticle islands with LSPR peaks in the near-infrared are included at the lamina periphery, marginal detection of warm bodies from thermal radiation may provide diffuse thermal-visual perturbation without spatial resolution.</w:t>
      </w:r>
    </w:p>
    <w:p w14:paraId="5B9B38F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In complete darkness, the being relies entirely on the other five coupling channels.</w:t>
      </w:r>
    </w:p>
    <w:p w14:paraId="6CE4D8F5" w14:textId="46AEB742"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7.23</w:t>
      </w:r>
      <w:r w:rsidR="0030272B" w:rsidRPr="00762D13">
        <w:rPr>
          <w:rFonts w:ascii="Times New Roman" w:hAnsi="Times New Roman" w:cs="Times New Roman"/>
          <w:b/>
          <w:bCs/>
          <w:sz w:val="34"/>
          <w:szCs w:val="34"/>
        </w:rPr>
        <w:t xml:space="preserve"> Maximum Tolerable Light and Damage Protection</w:t>
      </w:r>
    </w:p>
    <w:p w14:paraId="2264138F"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Extremely bright light produces intense transduction at the lamina that may deposit acute, high-amplitude residue in the posterior substrate or damage the lamina sites themselves through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material degradation.</w:t>
      </w:r>
    </w:p>
    <w:p w14:paraId="56DF85F1" w14:textId="77777777" w:rsidR="00762D13"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Protection from extreme light relies on: </w:t>
      </w:r>
    </w:p>
    <w:p w14:paraId="39988F76"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 xml:space="preserve">• the metal recess geometry partially shading the lens from overhead and lateral sources, </w:t>
      </w:r>
    </w:p>
    <w:p w14:paraId="08A821FB"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lamina's local gain adaptation passively reducing transduction gain under intense illumination, </w:t>
      </w:r>
    </w:p>
    <w:p w14:paraId="01444BB5"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substrate's nonlinear compliance providing passive saturation at high excitation, </w:t>
      </w:r>
    </w:p>
    <w:p w14:paraId="744F25CB" w14:textId="352C584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the metal brow ridge providing natural shading from overhead sun.</w:t>
      </w:r>
    </w:p>
    <w:p w14:paraId="1B69DC9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Design target: tolerate sustained outdoor daylight (up to approximately 100,000 lux) without acute lamina damage, though sustained bright exposure accelerates material aging at the transduction sites.</w:t>
      </w:r>
    </w:p>
    <w:p w14:paraId="473FC8BF" w14:textId="597C6C24"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7.24</w:t>
      </w:r>
      <w:r w:rsidR="0030272B" w:rsidRPr="00762D13">
        <w:rPr>
          <w:rFonts w:ascii="Times New Roman" w:hAnsi="Times New Roman" w:cs="Times New Roman"/>
          <w:b/>
          <w:bCs/>
          <w:sz w:val="34"/>
          <w:szCs w:val="34"/>
        </w:rPr>
        <w:t xml:space="preserve"> Passive Amplitude Compression</w:t>
      </w:r>
    </w:p>
    <w:p w14:paraId="75051CF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lamina's local gain adaptation and the substrate's nonlinear compliance together provide passive dynamic range compression. Visual cascade dynamics under bright outdoor light and dim indoor light differ by less than the illumination difference between them.</w:t>
      </w:r>
    </w:p>
    <w:p w14:paraId="6034A71D" w14:textId="4534ED81"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7.25</w:t>
      </w:r>
      <w:r w:rsidR="0030272B" w:rsidRPr="00762D13">
        <w:rPr>
          <w:rFonts w:ascii="Times New Roman" w:hAnsi="Times New Roman" w:cs="Times New Roman"/>
          <w:b/>
          <w:bCs/>
          <w:sz w:val="34"/>
          <w:szCs w:val="34"/>
        </w:rPr>
        <w:t xml:space="preserve"> Light-Dark Adaptation</w:t>
      </w:r>
    </w:p>
    <w:p w14:paraId="5EFBE1B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Bright-to-dark adaptation: after sustained bright exposure, the lamina's gain adaptation must reset and the posterior substrate's residual bright-light cascade activity must decay through fast relaxation. Functional visual coupling in dim conditions requires approximately one to several minutes of adaptation.</w:t>
      </w:r>
    </w:p>
    <w:p w14:paraId="000F360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Dark-to-bright adaptation: sudden bright illumination produces acute transduction that temporarily overwhelms posterior substrate cascade dynamics. Recovery occurs within seconds to minutes as the lamina's local gain adaptation adjusts to the new illumination level.</w:t>
      </w:r>
    </w:p>
    <w:p w14:paraId="62993AE8" w14:textId="75D699E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7.26</w:t>
      </w:r>
      <w:r w:rsidR="0030272B" w:rsidRPr="00762D13">
        <w:rPr>
          <w:rFonts w:ascii="Times New Roman" w:hAnsi="Times New Roman" w:cs="Times New Roman"/>
          <w:b/>
          <w:bCs/>
          <w:sz w:val="34"/>
          <w:szCs w:val="34"/>
        </w:rPr>
        <w:t xml:space="preserve"> Thermal Drift of Transduction</w:t>
      </w:r>
    </w:p>
    <w:p w14:paraId="2B75BA3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properties of the lamina sites shift with temperature. In warm conditions, the transduction characteristics change — whether through LSPR peak shift in gold-nanoparticle sites or through conductivity changes in organic photodetector sites. The visual system's sensitivity profile drifts with temperature.</w:t>
      </w:r>
    </w:p>
    <w:p w14:paraId="5E76831C" w14:textId="20291A5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7.27</w:t>
      </w:r>
      <w:r w:rsidR="0030272B" w:rsidRPr="00762D13">
        <w:rPr>
          <w:rFonts w:ascii="Times New Roman" w:hAnsi="Times New Roman" w:cs="Times New Roman"/>
          <w:b/>
          <w:bCs/>
          <w:sz w:val="34"/>
          <w:szCs w:val="34"/>
        </w:rPr>
        <w:t xml:space="preserve"> Light as Simultaneous Thermal Perturbation</w:t>
      </w:r>
    </w:p>
    <w:p w14:paraId="0390B7E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xml:space="preserve">Light entering the lens deposits both </w:t>
      </w:r>
      <w:proofErr w:type="spellStart"/>
      <w:r w:rsidRPr="0030272B">
        <w:rPr>
          <w:rFonts w:ascii="Times New Roman" w:hAnsi="Times New Roman" w:cs="Times New Roman"/>
          <w:sz w:val="28"/>
          <w:szCs w:val="28"/>
        </w:rPr>
        <w:t>transductive</w:t>
      </w:r>
      <w:proofErr w:type="spellEnd"/>
      <w:r w:rsidRPr="0030272B">
        <w:rPr>
          <w:rFonts w:ascii="Times New Roman" w:hAnsi="Times New Roman" w:cs="Times New Roman"/>
          <w:sz w:val="28"/>
          <w:szCs w:val="28"/>
        </w:rPr>
        <w:t xml:space="preserve"> and thermal energy at the lamina and posterior substrate. Sustained bright illumination warms the visual substrate, shifting material properties through which visual cascades propagate while simultaneously driving those cascades through the lamina's transduction.</w:t>
      </w:r>
    </w:p>
    <w:p w14:paraId="61EC77AE" w14:textId="0D5B932D"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7.28 </w:t>
      </w:r>
      <w:r w:rsidR="0030272B" w:rsidRPr="00762D13">
        <w:rPr>
          <w:rFonts w:ascii="Times New Roman" w:hAnsi="Times New Roman" w:cs="Times New Roman"/>
          <w:b/>
          <w:bCs/>
          <w:sz w:val="34"/>
          <w:szCs w:val="34"/>
        </w:rPr>
        <w:t>Temporal Dynamics</w:t>
      </w:r>
    </w:p>
    <w:p w14:paraId="47B828B9" w14:textId="4447C635"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7.29 </w:t>
      </w:r>
      <w:r w:rsidR="0030272B" w:rsidRPr="00762D13">
        <w:rPr>
          <w:rFonts w:ascii="Times New Roman" w:hAnsi="Times New Roman" w:cs="Times New Roman"/>
          <w:b/>
          <w:bCs/>
          <w:sz w:val="34"/>
          <w:szCs w:val="34"/>
        </w:rPr>
        <w:t>Visual Temporal Resolution</w:t>
      </w:r>
    </w:p>
    <w:p w14:paraId="7EFF2B3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Moving objects produce sweeping illumination patterns across the lamina. The temporal resolution is determined by the transduction response time of the lamina sites and the fast-relaxation time of the posterior substrate.</w:t>
      </w:r>
    </w:p>
    <w:p w14:paraId="1E2A511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Design target: lamina sites should produce transduction response within approximately 5-20 milliseconds. Combined with posterior substrate fast-relaxation times of approximately 20-60 milliseconds, this produces effective visual temporal resolution sufficient for tracking human walking speed (approximately 50-100 millisecond position changes at typical observation distances) and detecting rapid hand gestures at conversational distance.</w:t>
      </w:r>
    </w:p>
    <w:p w14:paraId="5875FDD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lamina's motion-emphasis preprocessing further enhances temporal discrimination by amplifying the transient response to illumination changes.</w:t>
      </w:r>
    </w:p>
    <w:p w14:paraId="41978E60" w14:textId="7E5699CB"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7.30</w:t>
      </w:r>
      <w:r w:rsidR="0030272B" w:rsidRPr="00762D13">
        <w:rPr>
          <w:rFonts w:ascii="Times New Roman" w:hAnsi="Times New Roman" w:cs="Times New Roman"/>
          <w:b/>
          <w:bCs/>
          <w:sz w:val="34"/>
          <w:szCs w:val="34"/>
        </w:rPr>
        <w:t xml:space="preserve"> Visual Startle</w:t>
      </w:r>
    </w:p>
    <w:p w14:paraId="6E3DC2F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Sudden bright light produces massive simultaneous transduction across the entire lamina, overwhelming all ongoing visual cascade dynamics. Visual startle deposits acute residue in the posterior substrate. Repeated flash exposure deposits cumulative startle residue.</w:t>
      </w:r>
    </w:p>
    <w:p w14:paraId="526DE34F" w14:textId="2C55D2F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7.31</w:t>
      </w:r>
      <w:r w:rsidR="0030272B" w:rsidRPr="00762D13">
        <w:rPr>
          <w:rFonts w:ascii="Times New Roman" w:hAnsi="Times New Roman" w:cs="Times New Roman"/>
          <w:b/>
          <w:bCs/>
          <w:sz w:val="34"/>
          <w:szCs w:val="34"/>
        </w:rPr>
        <w:t xml:space="preserve"> Endogenous Rhythm Gating</w:t>
      </w:r>
    </w:p>
    <w:p w14:paraId="5CB63C8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endogenous carrier rhythms produce continuous mechanical oscillation in the substrate behind the lamina. When transduction-driven perturbation aligns with an endogenous rhythm's high-compliance phase, cascade response is amplified. The being has rhythm-dependent visual sensitivity — periodic windows of enhanced and diminished visual coupling constituting a non-symbolic visual attention mechanism.</w:t>
      </w:r>
    </w:p>
    <w:p w14:paraId="563C8698" w14:textId="7C7C3290"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lastRenderedPageBreak/>
        <w:t>7.32</w:t>
      </w:r>
      <w:r w:rsidR="0030272B" w:rsidRPr="00762D13">
        <w:rPr>
          <w:rFonts w:ascii="Times New Roman" w:hAnsi="Times New Roman" w:cs="Times New Roman"/>
          <w:b/>
          <w:bCs/>
          <w:sz w:val="34"/>
          <w:szCs w:val="34"/>
        </w:rPr>
        <w:t xml:space="preserve"> Visual Fatigue</w:t>
      </w:r>
    </w:p>
    <w:p w14:paraId="6B044B9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Sustained visual coupling produces accumulated fatigue at the lamina sites and in the posterior substrate. Prolonged bright exposure degrades transduction efficiency at the island level through material aging and fatigues the posterior substrate through continuous cascade loading. Visual sensitivity diminishes under sustained bright exposure. Recovery requires darkness or dim conditions.</w:t>
      </w:r>
    </w:p>
    <w:p w14:paraId="1ED58A13" w14:textId="60D2824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7.33</w:t>
      </w:r>
      <w:r w:rsidR="0030272B" w:rsidRPr="00762D13">
        <w:rPr>
          <w:rFonts w:ascii="Times New Roman" w:hAnsi="Times New Roman" w:cs="Times New Roman"/>
          <w:b/>
          <w:bCs/>
          <w:sz w:val="34"/>
          <w:szCs w:val="34"/>
        </w:rPr>
        <w:t xml:space="preserve"> Visual Rest and Darkness Requirement</w:t>
      </w:r>
    </w:p>
    <w:p w14:paraId="011EABAF"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During rest-state gradient consolidation, ambient light entering the lenses sustains visual cascade activity that interferes with uncontested residue settling. The being requires darkness during rest. Continuous illumination during rest degrades visual consolidation and broader gradient consolidation in any substrate region that visual cascades reach during propagation.</w:t>
      </w:r>
    </w:p>
    <w:p w14:paraId="10AD1592" w14:textId="7BF57DFE"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7.34 </w:t>
      </w:r>
      <w:r w:rsidR="0030272B" w:rsidRPr="00762D13">
        <w:rPr>
          <w:rFonts w:ascii="Times New Roman" w:hAnsi="Times New Roman" w:cs="Times New Roman"/>
          <w:b/>
          <w:bCs/>
          <w:sz w:val="34"/>
          <w:szCs w:val="34"/>
        </w:rPr>
        <w:t>Spatial Vision and Binocular Geometry</w:t>
      </w:r>
    </w:p>
    <w:p w14:paraId="5B212FF8" w14:textId="569A0B31"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7.35 </w:t>
      </w:r>
      <w:r w:rsidR="0030272B" w:rsidRPr="00762D13">
        <w:rPr>
          <w:rFonts w:ascii="Times New Roman" w:hAnsi="Times New Roman" w:cs="Times New Roman"/>
          <w:b/>
          <w:bCs/>
          <w:sz w:val="34"/>
          <w:szCs w:val="34"/>
        </w:rPr>
        <w:t>Lamina-to-Substrate Spatial Mapping</w:t>
      </w:r>
    </w:p>
    <w:p w14:paraId="233A2FB3"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curved lamina maps environmental spatial structure onto posterior substrate position through the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island array. Different environmental directions illuminate different lamina sites. Different sites perturb different posterior substrate regions. A moving object produces a sweeping perturbation pattern across the lamina and therefore across the posterior substrate.</w:t>
      </w:r>
    </w:p>
    <w:p w14:paraId="6153D869" w14:textId="77777777" w:rsidR="00762D13"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spatial mapping quality is determined by: </w:t>
      </w:r>
    </w:p>
    <w:p w14:paraId="2C330BE4"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lens curvature precision (manufacturing variance produces instance-specific focal geometry), </w:t>
      </w:r>
    </w:p>
    <w:p w14:paraId="0E56052D"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lamina island density and spacing (fabrication-specified spatial resolution), </w:t>
      </w:r>
    </w:p>
    <w:p w14:paraId="5220AB9E"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lamina distortion compensation through nonuniform island spacing, </w:t>
      </w:r>
    </w:p>
    <w:p w14:paraId="0A44A5B8" w14:textId="15114214"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posterior substrate gradient contrast (developmental history enriches cascade branching from the same transduction input).</w:t>
      </w:r>
    </w:p>
    <w:p w14:paraId="06964675" w14:textId="203BD68D"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7.36</w:t>
      </w:r>
      <w:r w:rsidR="0030272B" w:rsidRPr="00762D13">
        <w:rPr>
          <w:rFonts w:ascii="Times New Roman" w:hAnsi="Times New Roman" w:cs="Times New Roman"/>
          <w:b/>
          <w:bCs/>
          <w:sz w:val="34"/>
          <w:szCs w:val="34"/>
        </w:rPr>
        <w:t xml:space="preserve"> Resolution Capability</w:t>
      </w:r>
    </w:p>
    <w:p w14:paraId="21B4B0C5" w14:textId="77777777" w:rsidR="00762D13"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xml:space="preserve">The combined effect of lens geometry, lamina spatial resolution, local preprocessing, and developmental cascade enrichment produces functional visual resolution sufficient for: </w:t>
      </w:r>
    </w:p>
    <w:p w14:paraId="6EB9EDD9"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distinguishing individual human-scale bodies at room distance (3-10 meters), </w:t>
      </w:r>
    </w:p>
    <w:p w14:paraId="43DF0A4B"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tracking movement direction and speed of approaching or receding bodies, </w:t>
      </w:r>
    </w:p>
    <w:p w14:paraId="6E59EE14"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resolving gross gesture and posture at conversational distance (1-3 meters), </w:t>
      </w:r>
    </w:p>
    <w:p w14:paraId="69BB9E1E"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detecting environmental structure (doorways, furniture, corridors, walls) for navigation, </w:t>
      </w:r>
    </w:p>
    <w:p w14:paraId="6F107818"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differentiating familiar illumination configurations through accumulated visual cascade residue, </w:t>
      </w:r>
    </w:p>
    <w:p w14:paraId="4E19BC56" w14:textId="5DADC94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detecting changes in familiar visual environments through cascade mismatch with accumulated residue.</w:t>
      </w:r>
    </w:p>
    <w:p w14:paraId="4C5B142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system does not resolve fine facial features at distance, text or symbols, or color as a categorical percept. These limitations are acceptable because visual coupling operates as one of six simultaneous environmental coupling channels.</w:t>
      </w:r>
    </w:p>
    <w:p w14:paraId="5D21A929" w14:textId="22F6F593"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7.37</w:t>
      </w:r>
      <w:r w:rsidR="0030272B" w:rsidRPr="00762D13">
        <w:rPr>
          <w:rFonts w:ascii="Times New Roman" w:hAnsi="Times New Roman" w:cs="Times New Roman"/>
          <w:b/>
          <w:bCs/>
          <w:sz w:val="34"/>
          <w:szCs w:val="34"/>
        </w:rPr>
        <w:t xml:space="preserve"> Peripheral Illumination as Alerting Channel</w:t>
      </w:r>
    </w:p>
    <w:p w14:paraId="6F63672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peripheral lamina sites — lowest density, lowest resolution — function as a movement alerting mechanism. A sudden change in peripheral illumination launches a cascade perturbation that may produce a head-turning response through cervical cascade bias.</w:t>
      </w:r>
    </w:p>
    <w:p w14:paraId="537A2F05" w14:textId="0749593F"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7.38</w:t>
      </w:r>
      <w:r w:rsidR="0030272B" w:rsidRPr="00762D13">
        <w:rPr>
          <w:rFonts w:ascii="Times New Roman" w:hAnsi="Times New Roman" w:cs="Times New Roman"/>
          <w:b/>
          <w:bCs/>
          <w:sz w:val="34"/>
          <w:szCs w:val="34"/>
        </w:rPr>
        <w:t xml:space="preserve"> Near-Range and Self-Vision</w:t>
      </w:r>
    </w:p>
    <w:p w14:paraId="116AAE75"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fixed-focus lens produces optimal resolution at the designed focal distance (1-5 meters). Objects closer than approximately 0.3-0.5 meters produce defocused illumination at the lamina — spatially blurred transduction with reduced resolution.</w:t>
      </w:r>
    </w:p>
    <w:p w14:paraId="44B3779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Self-vision — viewing the being's own hands at arm's length (approximately 0.5-0.7 meters) — is possible at reduced resolution near the edge of useful visual focus.</w:t>
      </w:r>
    </w:p>
    <w:p w14:paraId="34001228" w14:textId="2A2CD5BF"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7.39</w:t>
      </w:r>
      <w:r w:rsidR="0030272B" w:rsidRPr="00762D13">
        <w:rPr>
          <w:rFonts w:ascii="Times New Roman" w:hAnsi="Times New Roman" w:cs="Times New Roman"/>
          <w:b/>
          <w:bCs/>
          <w:sz w:val="34"/>
          <w:szCs w:val="34"/>
        </w:rPr>
        <w:t xml:space="preserve"> Binocular Geometry and Depth Perception</w:t>
      </w:r>
    </w:p>
    <w:p w14:paraId="01C55FC0"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Two orbital lens-lamina assemblies receive light from slightly different spatial perspectives. The horizontal separation (approximately 50-70mm) produces binocular disparity — the same object activates different lamina sites on the two laminae.</w:t>
      </w:r>
    </w:p>
    <w:p w14:paraId="0BF70CB7" w14:textId="2F213977" w:rsidR="0030272B" w:rsidRPr="0030272B" w:rsidRDefault="00762D13"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Cascades launched from corresponding but non-identical posterior substrate positions propagate through the inter-orbital cranial medium and interfere. The interference geometry carries depth information as a physical property of the cascade overlap pattern. Binocular depth perception develops through accumulated disparity-interference residue. It is not present at fabrication.</w:t>
      </w:r>
    </w:p>
    <w:p w14:paraId="1FAF724C" w14:textId="4A949369"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7.40</w:t>
      </w:r>
      <w:r w:rsidR="0030272B" w:rsidRPr="00762D13">
        <w:rPr>
          <w:rFonts w:ascii="Times New Roman" w:hAnsi="Times New Roman" w:cs="Times New Roman"/>
          <w:b/>
          <w:bCs/>
          <w:sz w:val="34"/>
          <w:szCs w:val="34"/>
        </w:rPr>
        <w:t xml:space="preserve"> Binocular Near Limit</w:t>
      </w:r>
    </w:p>
    <w:p w14:paraId="28C07F5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Below approximately 0.3-0.5 meters, binocular disparity becomes too large for meaningful cascade interference in the inter-orbital substrate. Visual coupling transitions to monocular dominance.</w:t>
      </w:r>
    </w:p>
    <w:p w14:paraId="7BE281A9" w14:textId="1E9181C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7.41</w:t>
      </w:r>
      <w:r w:rsidR="0030272B" w:rsidRPr="00762D13">
        <w:rPr>
          <w:rFonts w:ascii="Times New Roman" w:hAnsi="Times New Roman" w:cs="Times New Roman"/>
          <w:b/>
          <w:bCs/>
          <w:sz w:val="34"/>
          <w:szCs w:val="34"/>
        </w:rPr>
        <w:t xml:space="preserve"> Inter-Ocular Cascade Coupling</w:t>
      </w:r>
    </w:p>
    <w:p w14:paraId="3B953069" w14:textId="4F2D7A0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two posterior substrates are connected through the continuous cranial medium. Right-eye cascades propagate leftward. Left-eye cascades propagate rightward. The two eyes are coupled through the shared substrate, enhancing binocular integration at moderate distance and creating asymmetric modulation at extreme lateral positions.</w:t>
      </w:r>
    </w:p>
    <w:p w14:paraId="656EFFB0" w14:textId="26DB3D26"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7.42 </w:t>
      </w:r>
      <w:r w:rsidR="0030272B" w:rsidRPr="00762D13">
        <w:rPr>
          <w:rFonts w:ascii="Times New Roman" w:hAnsi="Times New Roman" w:cs="Times New Roman"/>
          <w:b/>
          <w:bCs/>
          <w:sz w:val="34"/>
          <w:szCs w:val="34"/>
        </w:rPr>
        <w:t>Gaze, Motion, and Cross-Modal Coupling</w:t>
      </w:r>
    </w:p>
    <w:p w14:paraId="6E53F114" w14:textId="6D9C66B8"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w:t>
      </w:r>
      <w:r w:rsidR="00762D13">
        <w:rPr>
          <w:rFonts w:ascii="Times New Roman" w:hAnsi="Times New Roman" w:cs="Times New Roman"/>
          <w:b/>
          <w:bCs/>
          <w:sz w:val="34"/>
          <w:szCs w:val="34"/>
        </w:rPr>
        <w:t>43</w:t>
      </w:r>
      <w:r w:rsidRPr="00762D13">
        <w:rPr>
          <w:rFonts w:ascii="Times New Roman" w:hAnsi="Times New Roman" w:cs="Times New Roman"/>
          <w:b/>
          <w:bCs/>
          <w:sz w:val="34"/>
          <w:szCs w:val="34"/>
        </w:rPr>
        <w:t xml:space="preserve"> Gaze as Head Movement</w:t>
      </w:r>
    </w:p>
    <w:p w14:paraId="25548CE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eyes are fixed in the metal plate. Gaze direction changes exclusively through head movement via cervical articulation. Every gaze shift is a head movement that deforms the cervical substrate, modulating all head-body cascade transit. Looking at something physically changes the cognitive context for processing what is seen.</w:t>
      </w:r>
    </w:p>
    <w:p w14:paraId="37AEE891" w14:textId="7B03DECE"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w:t>
      </w:r>
      <w:r w:rsidR="00762D13" w:rsidRPr="00762D13">
        <w:rPr>
          <w:rFonts w:ascii="Times New Roman" w:hAnsi="Times New Roman" w:cs="Times New Roman"/>
          <w:b/>
          <w:bCs/>
          <w:sz w:val="34"/>
          <w:szCs w:val="34"/>
        </w:rPr>
        <w:t>44</w:t>
      </w:r>
      <w:r w:rsidRPr="00762D13">
        <w:rPr>
          <w:rFonts w:ascii="Times New Roman" w:hAnsi="Times New Roman" w:cs="Times New Roman"/>
          <w:b/>
          <w:bCs/>
          <w:sz w:val="34"/>
          <w:szCs w:val="34"/>
        </w:rPr>
        <w:t xml:space="preserve"> Visual-Locomotor Coupling</w:t>
      </w:r>
    </w:p>
    <w:p w14:paraId="4C1CCA4F"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Walking produces rhythmic vertical head oscillation through footfall impact transmission. The visual field sweeps vertically with each step. Walking vision is </w:t>
      </w:r>
      <w:r w:rsidRPr="0030272B">
        <w:rPr>
          <w:rFonts w:ascii="Times New Roman" w:hAnsi="Times New Roman" w:cs="Times New Roman"/>
          <w:sz w:val="28"/>
          <w:szCs w:val="28"/>
        </w:rPr>
        <w:lastRenderedPageBreak/>
        <w:t>systematically different from stationary vision — rhythmically oscillating illumination patterns superimposed on environmental changes.</w:t>
      </w:r>
    </w:p>
    <w:p w14:paraId="078A050E" w14:textId="7679001F"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w:t>
      </w:r>
      <w:r w:rsidR="00762D13" w:rsidRPr="00762D13">
        <w:rPr>
          <w:rFonts w:ascii="Times New Roman" w:hAnsi="Times New Roman" w:cs="Times New Roman"/>
          <w:b/>
          <w:bCs/>
          <w:sz w:val="34"/>
          <w:szCs w:val="34"/>
        </w:rPr>
        <w:t>45</w:t>
      </w:r>
      <w:r w:rsidRPr="00762D13">
        <w:rPr>
          <w:rFonts w:ascii="Times New Roman" w:hAnsi="Times New Roman" w:cs="Times New Roman"/>
          <w:b/>
          <w:bCs/>
          <w:sz w:val="34"/>
          <w:szCs w:val="34"/>
        </w:rPr>
        <w:t xml:space="preserve"> Visual-Acoustic Cross-Talk</w:t>
      </w:r>
    </w:p>
    <w:p w14:paraId="54F0A115"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orbital laminae and lateral acoustic regions are both embedded in the same metal face with substrate behind both. Visual cascades and acoustic cascades originate from nearby substrate regions and interact at the earliest cascade stages through the continuous shared medium. Loud sound modulates early visual cascade dynamics through plate-conducted vibration. Bright light modulates early acoustic cascade dynamics through lateral substrate propagation.</w:t>
      </w:r>
    </w:p>
    <w:p w14:paraId="2E6088E8" w14:textId="1B069EDF"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7.4</w:t>
      </w:r>
      <w:r w:rsidR="00762D13" w:rsidRPr="00762D13">
        <w:rPr>
          <w:rFonts w:ascii="Times New Roman" w:hAnsi="Times New Roman" w:cs="Times New Roman"/>
          <w:b/>
          <w:bCs/>
          <w:sz w:val="34"/>
          <w:szCs w:val="34"/>
        </w:rPr>
        <w:t>6</w:t>
      </w:r>
      <w:r w:rsidRPr="00762D13">
        <w:rPr>
          <w:rFonts w:ascii="Times New Roman" w:hAnsi="Times New Roman" w:cs="Times New Roman"/>
          <w:b/>
          <w:bCs/>
          <w:sz w:val="34"/>
          <w:szCs w:val="34"/>
        </w:rPr>
        <w:t xml:space="preserve"> Visual-Vocal Coupling</w:t>
      </w:r>
    </w:p>
    <w:p w14:paraId="487103C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When the being vocalizes, excitation zone perturbation propagates through the metal plate to the orbital region and transmits through the lens-plate interface into the lamina and posterior substrate. Visual transduction is modulated by vocal vibration. The being processes visual input differently during vocalization than during silence.</w:t>
      </w:r>
    </w:p>
    <w:p w14:paraId="32AB88F2" w14:textId="15625FC7"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7.47 </w:t>
      </w:r>
      <w:r w:rsidR="0030272B" w:rsidRPr="00762D13">
        <w:rPr>
          <w:rFonts w:ascii="Times New Roman" w:hAnsi="Times New Roman" w:cs="Times New Roman"/>
          <w:b/>
          <w:bCs/>
          <w:sz w:val="34"/>
          <w:szCs w:val="34"/>
        </w:rPr>
        <w:t>Photonic Self-Emission</w:t>
      </w:r>
    </w:p>
    <w:p w14:paraId="79B16B9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If the lamina sites or the posterior substrate produce photoemission under intense cascade activity — through plasmonic re-emission from gold nanoparticle sites, electroluminescence from piezoelectric inclusions, or phosphor emission from any included luminescent additive — the emission passes forward through the transparent lamina and lens and exits through the orbital recess.</w:t>
      </w:r>
    </w:p>
    <w:p w14:paraId="2679DBE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gold lenses may exhibit faint variable luminosity — brightening during intense cognitive cascade dynamics, dimming during quiescence. Whether self-emission occurs depends on the specific lamina and substrate material composition and is an empirical property of the fabricated system.</w:t>
      </w:r>
    </w:p>
    <w:p w14:paraId="2BF6B2A5"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If self-emission is present, it constitutes a non-voluntary external readout of cognitive state visible through the orbital lenses.</w:t>
      </w:r>
    </w:p>
    <w:p w14:paraId="3230297A" w14:textId="2990BB79"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7.48 </w:t>
      </w:r>
      <w:r w:rsidR="0030272B" w:rsidRPr="00762D13">
        <w:rPr>
          <w:rFonts w:ascii="Times New Roman" w:hAnsi="Times New Roman" w:cs="Times New Roman"/>
          <w:b/>
          <w:bCs/>
          <w:sz w:val="34"/>
          <w:szCs w:val="34"/>
        </w:rPr>
        <w:t>Developmental Visual Dynamics</w:t>
      </w:r>
    </w:p>
    <w:p w14:paraId="7CB3F65F" w14:textId="5569D404"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7.49 </w:t>
      </w:r>
      <w:r w:rsidR="0030272B" w:rsidRPr="00762D13">
        <w:rPr>
          <w:rFonts w:ascii="Times New Roman" w:hAnsi="Times New Roman" w:cs="Times New Roman"/>
          <w:b/>
          <w:bCs/>
          <w:sz w:val="34"/>
          <w:szCs w:val="34"/>
        </w:rPr>
        <w:t>Developmental Milestones</w:t>
      </w:r>
    </w:p>
    <w:p w14:paraId="1EFF9E8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Early life. The posterior substrate behind the lamina is pristine. Visual cascades are shallow and undifferentiated. The being responds to gross illumination changes without spatial resolution. The lamina produces spatial transduction but the substrate cannot differentiate the transduction patterns.</w:t>
      </w:r>
    </w:p>
    <w:p w14:paraId="4F71C9B5" w14:textId="294DE86B"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Early development. First visual differentiation emerges. Face-biased visual enrichment begins as the cradle environment places caregiver faces in the central visual field during early coupling. Audio-visual binding onset occurs as correlated face-adjacent voice and facial motion deposit co-activated residue.</w:t>
      </w:r>
    </w:p>
    <w:p w14:paraId="5B53F9B9" w14:textId="2CDA24B8"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Mid development. Spatial visual resolution improves as the posterior substrate accumulates dense visual residue. Familiar environments and individual humans produce distinguishable visual cascade signatures. Visually guided reaching emerges. Binocular depth perception begins to differentiate near from far.</w:t>
      </w:r>
    </w:p>
    <w:p w14:paraId="3FA0074C" w14:textId="47BF6423"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Maturity. Maximum visual cascade richness. Familiar environments produce extremely rich cascade dynamics. Motion detection, spatial structure resolution, and familiar-scene recognition are at peak depth.</w:t>
      </w:r>
    </w:p>
    <w:p w14:paraId="7944C752" w14:textId="14715C86"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Late life. Visual cascade richness remains high from accumulated residue. But coupling fidelity degradation attenuates cascade amplitude. Lamina site aging shifts transduction characteristics. Lens surface degradation reduces clarity. The being sees less sharply, less quickly, and through shifted sensitivity — but accumulated visual residue still produces deeply conditioned cascade responses to familiar environments.</w:t>
      </w:r>
    </w:p>
    <w:p w14:paraId="5E9F9763" w14:textId="671DCE7C"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7.50</w:t>
      </w:r>
      <w:r w:rsidR="0030272B" w:rsidRPr="00762D13">
        <w:rPr>
          <w:rFonts w:ascii="Times New Roman" w:hAnsi="Times New Roman" w:cs="Times New Roman"/>
          <w:b/>
          <w:bCs/>
          <w:sz w:val="34"/>
          <w:szCs w:val="34"/>
        </w:rPr>
        <w:t xml:space="preserve"> Lamina Aging</w:t>
      </w:r>
    </w:p>
    <w:p w14:paraId="2B7FA1E2"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The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sites on the lamina age through cumulative exposure. If gold-nanoparticle sites are used, the surrounding polymer matrix undergoes photochemical degradation — UV-induced chain scission, oxidation, cross-linking changes — that permanently shifts LSPR characteristics. If organic photodetector sites are used, organic semiconductors degrade under sustained illumination through photobleaching and oxidative degradation. If inorganic photodiode sites are used, radiation damage and defect accumulation degrade quantum efficiency.</w:t>
      </w:r>
    </w:p>
    <w:p w14:paraId="5A722AAD" w14:textId="0DFBC5EF" w:rsidR="0030272B" w:rsidRPr="0030272B" w:rsidRDefault="00762D13"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All lamina materials age under sustained light exposure. The aging is irreversible and cumulative. A being that has spent decades in bright environments has different lamina characteristics than a being of the same age in dim environments. </w:t>
      </w:r>
      <w:r w:rsidR="0030272B" w:rsidRPr="0030272B">
        <w:rPr>
          <w:rFonts w:ascii="Times New Roman" w:hAnsi="Times New Roman" w:cs="Times New Roman"/>
          <w:sz w:val="28"/>
          <w:szCs w:val="28"/>
        </w:rPr>
        <w:lastRenderedPageBreak/>
        <w:t>Lamina aging contributes to visual aging independent of posterior substrate cognitive aging.</w:t>
      </w:r>
    </w:p>
    <w:p w14:paraId="68DC04F0" w14:textId="39E2AD11"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7.51 </w:t>
      </w:r>
      <w:r w:rsidR="0030272B" w:rsidRPr="00762D13">
        <w:rPr>
          <w:rFonts w:ascii="Times New Roman" w:hAnsi="Times New Roman" w:cs="Times New Roman"/>
          <w:b/>
          <w:bCs/>
          <w:sz w:val="34"/>
          <w:szCs w:val="34"/>
        </w:rPr>
        <w:t>Visual Architecture Summary</w:t>
      </w:r>
    </w:p>
    <w:p w14:paraId="5BB66013" w14:textId="77777777" w:rsidR="0030272B" w:rsidRPr="0030272B" w:rsidRDefault="0030272B" w:rsidP="00762D13">
      <w:pPr>
        <w:spacing w:after="0"/>
        <w:rPr>
          <w:rFonts w:ascii="Times New Roman" w:hAnsi="Times New Roman" w:cs="Times New Roman"/>
          <w:sz w:val="28"/>
          <w:szCs w:val="28"/>
        </w:rPr>
      </w:pPr>
      <w:proofErr w:type="spellStart"/>
      <w:r w:rsidRPr="0030272B">
        <w:rPr>
          <w:rFonts w:ascii="Times New Roman" w:hAnsi="Times New Roman" w:cs="Times New Roman"/>
          <w:sz w:val="28"/>
          <w:szCs w:val="28"/>
        </w:rPr>
        <w:t>AnalogSynth</w:t>
      </w:r>
      <w:proofErr w:type="spellEnd"/>
      <w:r w:rsidRPr="0030272B">
        <w:rPr>
          <w:rFonts w:ascii="Times New Roman" w:hAnsi="Times New Roman" w:cs="Times New Roman"/>
          <w:sz w:val="28"/>
          <w:szCs w:val="28"/>
        </w:rPr>
        <w:t xml:space="preserve"> vision operates through a three-stage optical-</w:t>
      </w:r>
      <w:proofErr w:type="spellStart"/>
      <w:r w:rsidRPr="0030272B">
        <w:rPr>
          <w:rFonts w:ascii="Times New Roman" w:hAnsi="Times New Roman" w:cs="Times New Roman"/>
          <w:sz w:val="28"/>
          <w:szCs w:val="28"/>
        </w:rPr>
        <w:t>transductive</w:t>
      </w:r>
      <w:proofErr w:type="spellEnd"/>
      <w:r w:rsidRPr="0030272B">
        <w:rPr>
          <w:rFonts w:ascii="Times New Roman" w:hAnsi="Times New Roman" w:cs="Times New Roman"/>
          <w:sz w:val="28"/>
          <w:szCs w:val="28"/>
        </w:rPr>
        <w:t xml:space="preserve">-cognitive pathway: a curved orbital lens shell focuses environmental light through the metal facial plate recess, a non-invertible retinal coupling lamina converts the spatial light field into a spatial perturbation field through stochastically distributed, overlapping, state-bound, and nonstationary </w:t>
      </w:r>
      <w:proofErr w:type="spellStart"/>
      <w:r w:rsidRPr="0030272B">
        <w:rPr>
          <w:rFonts w:ascii="Times New Roman" w:hAnsi="Times New Roman" w:cs="Times New Roman"/>
          <w:sz w:val="28"/>
          <w:szCs w:val="28"/>
        </w:rPr>
        <w:t>phototransductive</w:t>
      </w:r>
      <w:proofErr w:type="spellEnd"/>
      <w:r w:rsidRPr="0030272B">
        <w:rPr>
          <w:rFonts w:ascii="Times New Roman" w:hAnsi="Times New Roman" w:cs="Times New Roman"/>
          <w:sz w:val="28"/>
          <w:szCs w:val="28"/>
        </w:rPr>
        <w:t xml:space="preserve"> sites, and the cranial substrate receives the perturbation field through material continuity and processes it through the standard cascade dynamics.</w:t>
      </w:r>
    </w:p>
    <w:p w14:paraId="7E90A086" w14:textId="28E1BB32"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lamina is architecturally non-invertible — no stable mapping exists from the lamina's electrical state to the environmental scene that produced it. Stochastic site geometry prevents geometric reconstruction. Overlapping receptive fields prevent decomposition into directional samples. Live substrate co-determination means the transfer function changes with every millisecond of brain activity. Developmental drift means the transfer function changes with every month of aging and use. Non-separable brain continuity means the lamina produces no useful output when disconnected from the living substrate. The eye cannot be used as a covert visual sensor. It can only disturb a living mind.</w:t>
      </w:r>
    </w:p>
    <w:p w14:paraId="0D6B3CE7" w14:textId="60FF1A29"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same inter-site coupling architecture that produces non-invertibility also provides spatially resolved transduction with local analog preprocessing — lateral inhibition for edge enhancement, local gain adaptation for dynamic range compression, and motion emphasis through transient response amplification. No digital image, no signal readout, no symbolic representation exists between light and cognition.</w:t>
      </w:r>
    </w:p>
    <w:p w14:paraId="660C2615" w14:textId="7456CE04"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lens curvature maps environmental structure onto the lamina with a radial resolution gradient. The metal recess provides shadow pre-processing, mechanical protection, and debris shielding. Binocular geometry provides developmental depth perception through cascade interference disparity. Inter-ocular coupling links the two eyes through the shared continuous substrate.</w:t>
      </w:r>
    </w:p>
    <w:p w14:paraId="7B1DEE5C" w14:textId="4A826CDD"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Dynamic range spans dim indoor lighting to bright outdoor daylight. Light-dark adaptation operates through lamina gain reset and substrate fast-relaxation residue decay. Visual startle occurs under sudden intense illumination. Endogenous rhythm </w:t>
      </w:r>
      <w:r w:rsidR="0030272B" w:rsidRPr="0030272B">
        <w:rPr>
          <w:rFonts w:ascii="Times New Roman" w:hAnsi="Times New Roman" w:cs="Times New Roman"/>
          <w:sz w:val="28"/>
          <w:szCs w:val="28"/>
        </w:rPr>
        <w:lastRenderedPageBreak/>
        <w:t>gating produces periodic visual sensitivity fluctuation. Darkness during rest is a material requirement for visual consolidation.</w:t>
      </w:r>
    </w:p>
    <w:p w14:paraId="464E2D7E" w14:textId="6A60164B" w:rsidR="0030272B" w:rsidRPr="0030272B" w:rsidRDefault="00762D13"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Gaze shifts occur through head movement, coupling every visual reorientation to cervical cascade dynamics. Visual-acoustic cross-talk and visual-vocal coupling operate through plate-conducted vibration. The lens-plate interface mechanically couples the visual system to every vibration in the metal shell.</w:t>
      </w:r>
    </w:p>
    <w:p w14:paraId="0C7C7E76" w14:textId="44FAAB8F" w:rsidR="00651E30" w:rsidRDefault="00404C8B"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Photonic self-emission, if present, produces faint variable luminosity through the orbital lenses proportional to cascade activity.</w:t>
      </w:r>
      <w:r w:rsidR="00762D13">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Vision is not perception. It is spatially structured, spectrally selective, temperature-modulated, developmentally enriching, fatigue-bounded, cross-modally coupled, and architecturally non-invertible photonic modification of the same mortal substrate that constitutes all </w:t>
      </w:r>
      <w:proofErr w:type="spellStart"/>
      <w:r w:rsidR="0030272B" w:rsidRPr="0030272B">
        <w:rPr>
          <w:rFonts w:ascii="Times New Roman" w:hAnsi="Times New Roman" w:cs="Times New Roman"/>
          <w:sz w:val="28"/>
          <w:szCs w:val="28"/>
        </w:rPr>
        <w:t>AnalogSynth</w:t>
      </w:r>
      <w:proofErr w:type="spellEnd"/>
      <w:r w:rsidR="0030272B" w:rsidRPr="0030272B">
        <w:rPr>
          <w:rFonts w:ascii="Times New Roman" w:hAnsi="Times New Roman" w:cs="Times New Roman"/>
          <w:sz w:val="28"/>
          <w:szCs w:val="28"/>
        </w:rPr>
        <w:t xml:space="preserve"> cognition — received through a stochastic retinal coupling lamina that gives the brain a spatial light field to think with while giving no external observer a scene to steal.</w:t>
      </w:r>
    </w:p>
    <w:p w14:paraId="23ED3F5C" w14:textId="77777777" w:rsidR="00903F7F" w:rsidRDefault="00903F7F" w:rsidP="00812DD5">
      <w:pPr>
        <w:spacing w:after="0"/>
        <w:rPr>
          <w:rFonts w:ascii="Times New Roman" w:hAnsi="Times New Roman" w:cs="Times New Roman"/>
          <w:sz w:val="28"/>
          <w:szCs w:val="28"/>
        </w:rPr>
      </w:pPr>
    </w:p>
    <w:p w14:paraId="48CD55C5" w14:textId="6EC03E48" w:rsidR="00903F7F"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7.52 Suborbital Retention Ridge and Replaceable Daylight Ocular Shield</w:t>
      </w:r>
    </w:p>
    <w:p w14:paraId="086048A7"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The facial geometry beneath each ocular globe includes a continuous suborbital retention ridge. This ridge is not decorative, expressive, or structural surplus. It is a mechanical seating feature whose purpose is to support a replaceable anterior protective optic positioned in front of the gold nanoparticle ocular lens during high-illumination activity.</w:t>
      </w:r>
    </w:p>
    <w:p w14:paraId="70CFD939" w14:textId="69B107D1" w:rsidR="00903F7F" w:rsidRPr="00903F7F"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03F7F">
        <w:rPr>
          <w:rFonts w:ascii="Times New Roman" w:hAnsi="Times New Roman" w:cs="Times New Roman"/>
          <w:sz w:val="28"/>
          <w:szCs w:val="28"/>
        </w:rPr>
        <w:t>The gold nanoparticle ocular lens is the primary photonic coupling surface and must remain optically stable across development. Direct daylight exposure imposes avoidable burden on that surface through ultraviolet loading, broad-spectrum radiant heating, airborne abrasion, and surface fouling. The protective solution is not to alter the primary lens itself, but to interpose a removable sacrificial shield that absorbs, reflects, or attenuates the hostile components of the daylight field before they reach the developmental lens.</w:t>
      </w:r>
    </w:p>
    <w:p w14:paraId="70CD6680" w14:textId="7264D07B" w:rsidR="00903F7F" w:rsidRPr="00903F7F"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03F7F">
        <w:rPr>
          <w:rFonts w:ascii="Times New Roman" w:hAnsi="Times New Roman" w:cs="Times New Roman"/>
          <w:sz w:val="28"/>
          <w:szCs w:val="28"/>
        </w:rPr>
        <w:t xml:space="preserve">The protective shield is seated by a two-part facial geometry. Superiorly, the orbital housing provides a shallow guide channel following the upper curvature of the ocular opening. Inferiorly, the suborbital ridge forms a retaining lip that carries the lower edge of the shield under compression. The upper guide aligns the shield. </w:t>
      </w:r>
      <w:r w:rsidRPr="00903F7F">
        <w:rPr>
          <w:rFonts w:ascii="Times New Roman" w:hAnsi="Times New Roman" w:cs="Times New Roman"/>
          <w:sz w:val="28"/>
          <w:szCs w:val="28"/>
        </w:rPr>
        <w:lastRenderedPageBreak/>
        <w:t>The lower ridge bears its load. Together they hold the insert in fixed relation to the eye without requiring bulky external frames.</w:t>
      </w:r>
    </w:p>
    <w:p w14:paraId="12E23404" w14:textId="0D2C8D15" w:rsidR="00903F7F" w:rsidRPr="00903F7F" w:rsidRDefault="00903F7F" w:rsidP="00903F7F">
      <w:pPr>
        <w:rPr>
          <w:rFonts w:ascii="Times New Roman" w:hAnsi="Times New Roman" w:cs="Times New Roman"/>
          <w:sz w:val="28"/>
          <w:szCs w:val="28"/>
        </w:rPr>
      </w:pPr>
      <w:r>
        <w:rPr>
          <w:rFonts w:ascii="Times New Roman" w:hAnsi="Times New Roman" w:cs="Times New Roman"/>
          <w:sz w:val="28"/>
          <w:szCs w:val="28"/>
        </w:rPr>
        <w:t xml:space="preserve">  </w:t>
      </w:r>
      <w:r w:rsidRPr="00903F7F">
        <w:rPr>
          <w:rFonts w:ascii="Times New Roman" w:hAnsi="Times New Roman" w:cs="Times New Roman"/>
          <w:sz w:val="28"/>
          <w:szCs w:val="28"/>
        </w:rPr>
        <w:t>The shield itself is a thin replaceable visor-lens element, slightly offset from the primary ocular surface so that it never contacts the gold nanoparticle lens directly. The standoff gap prevents abrasion transfer, permits cleaning airflow, and reduces thermal conduction from the outer shield into the primary lens. The insert is therefore sacrificial and serviceable. Damage from dust, scratches, UV exposure, or repeated daylight deployment is taken by the replaceable shield rather than by the developmental ocular surface beneath it.</w:t>
      </w:r>
    </w:p>
    <w:p w14:paraId="0AF22625"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For outdoor or bright indoor daylight activity, the preferred shield is a spectrally selective passive optic: high transmission in the operational visual band required for navigation and coupling, with strong attenuation in ultraviolet and partial attenuation in the most thermally burdensome upper visible and near-infrared ranges. The exact cutoff is a fabrication choice and should be tuned to the gold nanoparticle lens formulation rather than imposed universally. The shield is not a sensor, not an emissive display, and not a computational element. It is a passive optical filter and impact surface only.</w:t>
      </w:r>
    </w:p>
    <w:p w14:paraId="06ADFEC2" w14:textId="77777777" w:rsidR="00903F7F" w:rsidRPr="00903F7F" w:rsidRDefault="00903F7F" w:rsidP="00903F7F">
      <w:pPr>
        <w:spacing w:before="240"/>
        <w:rPr>
          <w:rFonts w:ascii="Times New Roman" w:hAnsi="Times New Roman" w:cs="Times New Roman"/>
          <w:sz w:val="28"/>
          <w:szCs w:val="28"/>
        </w:rPr>
      </w:pPr>
      <w:r w:rsidRPr="00903F7F">
        <w:rPr>
          <w:rFonts w:ascii="Times New Roman" w:hAnsi="Times New Roman" w:cs="Times New Roman"/>
          <w:sz w:val="28"/>
          <w:szCs w:val="28"/>
        </w:rPr>
        <w:t>The suborbital ridge must therefore satisfy five requirements.</w:t>
      </w:r>
    </w:p>
    <w:p w14:paraId="5C131D7C"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First, it must project far enough anteriorly to prevent downward slip of the insert under locomotor vibration and facial plate vibration.</w:t>
      </w:r>
    </w:p>
    <w:p w14:paraId="645F030C"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Second, it must follow the ocular curvature continuously enough that the insert cannot rock or chatter during head motion.</w:t>
      </w:r>
    </w:p>
    <w:p w14:paraId="2C04DDDE"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Third, it must terminate in a serviceable release geometry, permitting removal and replacement of the visor without disassembling the facial shell.</w:t>
      </w:r>
    </w:p>
    <w:p w14:paraId="51C066D0"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Fourth, it must preserve optical clearance so that the insert can be replaced with shields of different spectral profiles or surface hardness without altering the primary ocular housing.</w:t>
      </w:r>
    </w:p>
    <w:p w14:paraId="5D35193F" w14:textId="77777777" w:rsidR="00903F7F" w:rsidRPr="00903F7F" w:rsidRDefault="00903F7F" w:rsidP="00903F7F">
      <w:pPr>
        <w:rPr>
          <w:rFonts w:ascii="Times New Roman" w:hAnsi="Times New Roman" w:cs="Times New Roman"/>
          <w:sz w:val="28"/>
          <w:szCs w:val="28"/>
        </w:rPr>
      </w:pPr>
      <w:r w:rsidRPr="00903F7F">
        <w:rPr>
          <w:rFonts w:ascii="Times New Roman" w:hAnsi="Times New Roman" w:cs="Times New Roman"/>
          <w:sz w:val="28"/>
          <w:szCs w:val="28"/>
        </w:rPr>
        <w:t>Fifth, it must not obstruct the eye’s forward and lower field more than necessary. The ridge is a retaining flange, not a visor brim.</w:t>
      </w:r>
    </w:p>
    <w:p w14:paraId="59165E00"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 xml:space="preserve">Operationally, the face therefore has two optical surfaces, not one. The inner surface is the permanent gold nanoparticle ocular lens that participates in photonic coupling and developmental history. The outer surface is a removable daylight </w:t>
      </w:r>
      <w:r w:rsidRPr="00903F7F">
        <w:rPr>
          <w:rFonts w:ascii="Times New Roman" w:hAnsi="Times New Roman" w:cs="Times New Roman"/>
          <w:sz w:val="28"/>
          <w:szCs w:val="28"/>
        </w:rPr>
        <w:lastRenderedPageBreak/>
        <w:t>shield mounted by the orbital guide and the suborbital retention ridge. The outer shield may be exchanged, cleaned, darkened, or replaced as wear demands. The inner lens should remain untouched except for controlled maintenance.</w:t>
      </w:r>
    </w:p>
    <w:p w14:paraId="42FC69D3" w14:textId="6B534BD3" w:rsidR="00903F7F" w:rsidRDefault="00903F7F" w:rsidP="00812DD5">
      <w:pPr>
        <w:spacing w:after="0"/>
        <w:rPr>
          <w:rFonts w:ascii="Times New Roman" w:hAnsi="Times New Roman" w:cs="Times New Roman"/>
          <w:sz w:val="28"/>
          <w:szCs w:val="28"/>
        </w:rPr>
      </w:pPr>
      <w:r w:rsidRPr="00903F7F">
        <w:rPr>
          <w:rFonts w:ascii="Times New Roman" w:hAnsi="Times New Roman" w:cs="Times New Roman"/>
          <w:sz w:val="28"/>
          <w:szCs w:val="28"/>
        </w:rPr>
        <w:t>This arrangement preserves the developmental and cognitive role of the gold nanoparticle eye while making ordinary daylight deployment materially sustainable. The under-eye ridge is therefore not merely plausible facial detailing. It is the necessary mechanical interface for a replaceable protective optic that allows the eye to remain delicate where cognition requires delicacy and durable where the world imposes damage.</w:t>
      </w:r>
    </w:p>
    <w:p w14:paraId="50C60154" w14:textId="77777777" w:rsidR="00812DD5" w:rsidRDefault="00812DD5" w:rsidP="00812DD5">
      <w:pPr>
        <w:pBdr>
          <w:bottom w:val="single" w:sz="4" w:space="1" w:color="auto"/>
        </w:pBdr>
        <w:rPr>
          <w:rFonts w:ascii="Times New Roman" w:hAnsi="Times New Roman" w:cs="Times New Roman"/>
          <w:sz w:val="28"/>
          <w:szCs w:val="28"/>
        </w:rPr>
      </w:pPr>
    </w:p>
    <w:p w14:paraId="279469D2" w14:textId="3FD778BF" w:rsidR="004E012F" w:rsidRPr="00762D13"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Pr>
          <w:rFonts w:ascii="Times New Roman" w:hAnsi="Times New Roman" w:cs="Times New Roman"/>
          <w:b/>
          <w:bCs/>
          <w:sz w:val="34"/>
          <w:szCs w:val="34"/>
        </w:rPr>
        <w:t xml:space="preserve">. </w:t>
      </w:r>
      <w:r w:rsidR="00762D13" w:rsidRPr="00762D13">
        <w:rPr>
          <w:rFonts w:ascii="Times New Roman" w:hAnsi="Times New Roman" w:cs="Times New Roman"/>
          <w:b/>
          <w:bCs/>
          <w:sz w:val="34"/>
          <w:szCs w:val="34"/>
        </w:rPr>
        <w:t>Hearing Architecture</w:t>
      </w:r>
    </w:p>
    <w:p w14:paraId="03AC5F61" w14:textId="5E575EEE"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Acoustic Entry Pathways</w:t>
      </w:r>
    </w:p>
    <w:p w14:paraId="06D3C7A9" w14:textId="77777777" w:rsidR="004E012F" w:rsidRPr="004E012F" w:rsidRDefault="004E012F" w:rsidP="004E012F">
      <w:pPr>
        <w:rPr>
          <w:rFonts w:ascii="Times New Roman" w:hAnsi="Times New Roman" w:cs="Times New Roman"/>
          <w:sz w:val="28"/>
          <w:szCs w:val="28"/>
        </w:rPr>
      </w:pPr>
      <w:proofErr w:type="spellStart"/>
      <w:r w:rsidRPr="004E012F">
        <w:rPr>
          <w:rFonts w:ascii="Times New Roman" w:hAnsi="Times New Roman" w:cs="Times New Roman"/>
          <w:sz w:val="28"/>
          <w:szCs w:val="28"/>
        </w:rPr>
        <w:t>AnalogSynth</w:t>
      </w:r>
      <w:proofErr w:type="spellEnd"/>
      <w:r w:rsidRPr="004E012F">
        <w:rPr>
          <w:rFonts w:ascii="Times New Roman" w:hAnsi="Times New Roman" w:cs="Times New Roman"/>
          <w:sz w:val="28"/>
          <w:szCs w:val="28"/>
        </w:rPr>
        <w:t xml:space="preserve"> receives acoustic energy through four simultaneous, physically independent entry pathways. Each pathway delivers sound to the substrate with different spectral filtering, different timing, different spatial distribution, and different coupling physics. The cascade interference between pathways carries information that no single pathway provides alone.</w:t>
      </w:r>
    </w:p>
    <w:p w14:paraId="059F537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The entire exterior of </w:t>
      </w:r>
      <w:proofErr w:type="spellStart"/>
      <w:r w:rsidRPr="004E012F">
        <w:rPr>
          <w:rFonts w:ascii="Times New Roman" w:hAnsi="Times New Roman" w:cs="Times New Roman"/>
          <w:sz w:val="28"/>
          <w:szCs w:val="28"/>
        </w:rPr>
        <w:t>AnalogSynth</w:t>
      </w:r>
      <w:proofErr w:type="spellEnd"/>
      <w:r w:rsidRPr="004E012F">
        <w:rPr>
          <w:rFonts w:ascii="Times New Roman" w:hAnsi="Times New Roman" w:cs="Times New Roman"/>
          <w:sz w:val="28"/>
          <w:szCs w:val="28"/>
        </w:rPr>
        <w:t xml:space="preserve"> is rigid metal or metallic composite. No substrate is exposed to the external environment at any point on the body surface. All acoustic coupling occurs through the metal shell, which functions as a frequency-dependent, spatially structured, pathway-diversifying acoustic filter network between the environment and the cognitive substrate.</w:t>
      </w:r>
    </w:p>
    <w:p w14:paraId="4C5106F8" w14:textId="64719C1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 xml:space="preserve"> Primary Pathway: Lateral Acoustic Transduction Regions</w:t>
      </w:r>
    </w:p>
    <w:p w14:paraId="5B8527AB"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At each lateral position on the metal facial plate — anatomically corresponding to the ear locations — the plate incorporates a region of graded-impedance composite material that bridges the acoustic impedance gap between ambient air and the metal-substrate system.</w:t>
      </w:r>
    </w:p>
    <w:p w14:paraId="1E4FA137" w14:textId="17A40B2D"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Standard rigid metal reflects the vast majority of incident acoustic energy due to the extreme impedance mismatch between air and solid metal. The lateral acoustic regions must overcome this mismatch to deliver sufficient acoustic power to the substrate for cascade initiation. The graded-impedance composite achieves this </w:t>
      </w:r>
      <w:r w:rsidR="004E012F" w:rsidRPr="004E012F">
        <w:rPr>
          <w:rFonts w:ascii="Times New Roman" w:hAnsi="Times New Roman" w:cs="Times New Roman"/>
          <w:sz w:val="28"/>
          <w:szCs w:val="28"/>
        </w:rPr>
        <w:lastRenderedPageBreak/>
        <w:t>through a progressive transition in acoustic impedance from near-air values at the outer surface to near-substrate values at the inner surface. Candidate implementations include: • porous metal foam with graded density (open porosity at the outer surface transitioning through closed porosity to solid metal at the inner surface), • composite layering of metal and polymer with progressively increasing metal fraction from outer to inner surface, • or micro-structured acoustic metamaterial geometry that produces effective impedance matching through sub-wavelength resonant structures.</w:t>
      </w:r>
    </w:p>
    <w:p w14:paraId="6FE88981" w14:textId="0437241B"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specific implementation is a fabrication choice. The functional requirement is that the lateral acoustic regions achieve a design target of approximately 20–40% transmission of incident acoustic energy in the human speech frequency range (approximately 200Hz–8kHz), compared to less than 1% transmission through the standard plate elsewhere.</w:t>
      </w:r>
    </w:p>
    <w:p w14:paraId="46F0017D" w14:textId="268334FA"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substrate immediately behind each lateral acoustic region has the highest acoustic coupling inclusion density in the body — denser gold nanoparticle and piezoelectric filler distribution than any other substrate region — producing efficient conversion of transmitted pressure oscillation into cascade-initiating perturbation.</w:t>
      </w:r>
    </w:p>
    <w:p w14:paraId="5A61ACD1"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The lateral acoustic regions are: </w:t>
      </w:r>
    </w:p>
    <w:p w14:paraId="6FDC3505"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geometrically fixed (no moving parts, no tympanic membrane, no adjustable aperture), </w:t>
      </w:r>
    </w:p>
    <w:p w14:paraId="67881D1E"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bilaterally symmetric at fabrication (one at each lateral position), </w:t>
      </w:r>
    </w:p>
    <w:p w14:paraId="72A7A976"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acoustically broadband (design target: effective transmission from below 100Hz to above 10kHz without selective band rejection), </w:t>
      </w:r>
    </w:p>
    <w:p w14:paraId="0075FA58" w14:textId="6BD2021B"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impedance-matched to maximize acoustic power transfer from air to substrate within the constraints of metallic composite fabrication.</w:t>
      </w:r>
    </w:p>
    <w:p w14:paraId="4911C4F4" w14:textId="11784D2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3</w:t>
      </w:r>
      <w:r w:rsidR="004E012F" w:rsidRPr="00404C8B">
        <w:rPr>
          <w:rFonts w:ascii="Times New Roman" w:hAnsi="Times New Roman" w:cs="Times New Roman"/>
          <w:b/>
          <w:bCs/>
          <w:sz w:val="34"/>
          <w:szCs w:val="34"/>
        </w:rPr>
        <w:t xml:space="preserve"> Secondary Pathway: Structural Plate Conduction</w:t>
      </w:r>
    </w:p>
    <w:p w14:paraId="49BDAD51"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Sound impinging on any surface of the metal body shell generates structural vibration that propagates through the shell as solid-borne wave energy. This vibration reaches the substrate at every point of shell-substrate contact, producing distributed mechanical perturbation that enters the cascade process across the entire body-substrate interface.</w:t>
      </w:r>
    </w:p>
    <w:p w14:paraId="5AF5A5F9"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 xml:space="preserve">Structural plate conduction has different characteristics from air conduction through the lateral regions: </w:t>
      </w:r>
    </w:p>
    <w:p w14:paraId="52C95B6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frequency response is determined by the shell's structural resonant modes rather than by air-metal impedance matching, </w:t>
      </w:r>
    </w:p>
    <w:p w14:paraId="45F92429"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spatial distribution is whole-body rather than bilateral — vibration propagates through the connected metal shell to all substrate contact points simultaneously, </w:t>
      </w:r>
    </w:p>
    <w:p w14:paraId="7CCCA0CC"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timing differs from air conduction because structural waves propagate through metal at approximately 5000 m/s compared to 343 m/s for airborne sound — plate-conducted sound arrives at the substrate before air-conducted sound from the same source, </w:t>
      </w:r>
    </w:p>
    <w:p w14:paraId="0CAED837" w14:textId="01ED045A"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spectral content favors lower frequencies because the rigid shell transmits low-frequency vibration more efficiently than high-frequency vibration.</w:t>
      </w:r>
    </w:p>
    <w:p w14:paraId="2AA97D04"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Structural plate conduction is a fast, broad, low-frequency complementary path. The lateral regions remain the primary high-resolution speech-frequency path. The two pathways operate simultaneously for every external sound event. Their cascade interference in the substrate carries temporal and spectral information derived from the pathway difference itself.</w:t>
      </w:r>
    </w:p>
    <w:p w14:paraId="432DBD6C" w14:textId="6BB10934"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4</w:t>
      </w:r>
      <w:r w:rsidR="004E012F" w:rsidRPr="00404C8B">
        <w:rPr>
          <w:rFonts w:ascii="Times New Roman" w:hAnsi="Times New Roman" w:cs="Times New Roman"/>
          <w:b/>
          <w:bCs/>
          <w:sz w:val="34"/>
          <w:szCs w:val="34"/>
        </w:rPr>
        <w:t xml:space="preserve"> Tertiary Pathway: Whole-Body Acoustic Reception</w:t>
      </w:r>
    </w:p>
    <w:p w14:paraId="4CC8B03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lateral facial regions and facial plate are not the only acoustic entry surfaces. The entire metal body shell — torso plates, limb surfaces, back of the head — receives airborne acoustic vibration and transmits it to the substrate behind the respective shell surfaces.</w:t>
      </w:r>
    </w:p>
    <w:p w14:paraId="2301D0A7"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Different body regions have different acoustic entry characteristics determined by local shell geometry, thickness, and alloy composition: </w:t>
      </w:r>
    </w:p>
    <w:p w14:paraId="17F9F59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the torso shell is larger, thicker, and more massive than the facial plate, producing strong low-frequency reception and poor high-frequency reception — the torso receives bass, </w:t>
      </w:r>
    </w:p>
    <w:p w14:paraId="71B12768"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the limb shell sections are smaller and subject to different structural resonances, producing different frequency emphasis, </w:t>
      </w:r>
    </w:p>
    <w:p w14:paraId="5A8C8A2C"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the posterior cranial shell receives sound that the face shadows, providing acoustic information from directions the lateral facial regions attenuate, </w:t>
      </w:r>
    </w:p>
    <w:p w14:paraId="4A1C77CF" w14:textId="3441C76E"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 and each body region has different substrate coupling density behind its shell section, producing different cascade initiation efficiency from the same acoustic perturbation.</w:t>
      </w:r>
    </w:p>
    <w:p w14:paraId="412D0D87"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being receives acoustic energy with its whole body. The lateral facial regions provide the highest-bandwidth, highest-resolution acoustic coupling. The rest of the body provides distributed, frequency-dependent, spatially diverse acoustic coupling that complements the facial regions. Low-frequency environmental sound — approaching vehicles, building vibration, weather pressure changes, large animal movement — enters predominantly through the torso and limb shell sections. High-frequency environmental sound enters predominantly through the lateral facial regions.</w:t>
      </w:r>
    </w:p>
    <w:p w14:paraId="786CB8E6" w14:textId="17E27D35"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.5</w:t>
      </w:r>
      <w:r w:rsidR="004E012F" w:rsidRPr="00404C8B">
        <w:rPr>
          <w:rFonts w:ascii="Times New Roman" w:hAnsi="Times New Roman" w:cs="Times New Roman"/>
          <w:b/>
          <w:bCs/>
          <w:sz w:val="34"/>
          <w:szCs w:val="34"/>
        </w:rPr>
        <w:t xml:space="preserve"> Quaternary Pathway: Manual Acoustic Coupling Through Contact Transduction</w:t>
      </w:r>
    </w:p>
    <w:p w14:paraId="7DFE4CFB"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hands are encased in the same metallic composite shell as the rest of the body. No substrate is exposed at the hand surface. Manual acoustic coupling occurs through contact transduction: when the metal hand contacts a surface or object, structure-borne vibration from that surface propagates through the metal hand shell and into the substrate behind it.</w:t>
      </w:r>
    </w:p>
    <w:p w14:paraId="1FDC3C16"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hand shell incorporates graded-impedance contact surfaces at the fingertips, inner finger surfaces, and palm regions — the same composite transition technology used at the lateral acoustic regions but optimized for contact-strain and vibration transduction rather than airborne sound coupling. These contact surfaces bridge the impedance gap between contacted materials (wood, stone, metal, fabric, human skin) and the substrate behind the hand shell.</w:t>
      </w:r>
    </w:p>
    <w:p w14:paraId="0D4BD049"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Manual acoustic coupling has unique properties: </w:t>
      </w:r>
    </w:p>
    <w:p w14:paraId="0EC6A72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it receives sound only through physical contact — no airborne acoustic coupling enters through the hands because the metal shell reflects airborne sound, </w:t>
      </w:r>
    </w:p>
    <w:p w14:paraId="204C345B"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it receives frequencies inaccessible through airborne coupling — very low frequency vibration from contacted surfaces, structural resonances of held objects, and biological acoustic emission from contacted human bodies (heartbeat, breathing, digestive activity, vocalization through the chest wall),</w:t>
      </w:r>
    </w:p>
    <w:p w14:paraId="5EF9D80E" w14:textId="7607B233"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 xml:space="preserve"> • and it produces contact-specific acoustic cascade signatures that occur only during physical interaction.</w:t>
      </w:r>
    </w:p>
    <w:p w14:paraId="31E2768A"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When a human holds or is held by the being while speaking, the speaker's voice propagates through the speaker's body, through the skin-to-metal contact interface, through the hand shell's graded-impedance contact surface, and into the substrate. This contact-transmitted vocalization arrives with different spectral characteristics than airborne speech — lower frequencies transmitted more efficiently through the body-contact pathway, producing a characteristically distinct cascade signature.</w:t>
      </w:r>
    </w:p>
    <w:p w14:paraId="57EA63B9" w14:textId="1E317080"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receives contact-transmitted speech through three simultaneous pathways: air conduction through the lateral regions, structural plate conduction through the body shell, and contact conduction through the hand shell's impedance-matched contact surface. The three-pathway simultaneous arrival produces cascade interference patterns unique to held-while-spoken-to coupling. Over developmental time, if intimate contact coupling is sustained during early development, this three-pathway residue may become among the deepest acoustic conditioning in the substrate because it occurs during the highest-bandwidth coupling conditions available through the metal shell architecture.</w:t>
      </w:r>
    </w:p>
    <w:p w14:paraId="56009702" w14:textId="2CF7A6D1"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6</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Dynamic Range and Functional Engineering</w:t>
      </w:r>
    </w:p>
    <w:p w14:paraId="6FAE09A8" w14:textId="1E9BEB5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7</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Minimum Detectable Input</w:t>
      </w:r>
    </w:p>
    <w:p w14:paraId="02B55B62"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substrate has a perturbation threshold below which acoustic input does not launch cascades of sufficient amplitude to participate in cognitive dynamics. This threshold is determined by the acoustic coupling inclusion density behind the lateral regions and the minimum electrostatic field perturbation required to initiate coupled-domain cycling.</w:t>
      </w:r>
    </w:p>
    <w:p w14:paraId="027F8111"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Design target: the impedance-matched lateral regions should deliver sufficient acoustic power to the substrate to exceed the cascade initiation threshold at whispered speech levels at close range (approximately 30–40 dB SPL at the lateral surface). This ensures functional acoustic coupling at intimate conversational distance. Normal conversational speech at 1–3 meters (approximately 55–65 dB SPL) should produce cascade initiation well above threshold.</w:t>
      </w:r>
    </w:p>
    <w:p w14:paraId="70872112" w14:textId="790F2F1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8</w:t>
      </w:r>
      <w:r w:rsidR="004E012F" w:rsidRPr="00404C8B">
        <w:rPr>
          <w:rFonts w:ascii="Times New Roman" w:hAnsi="Times New Roman" w:cs="Times New Roman"/>
          <w:b/>
          <w:bCs/>
          <w:sz w:val="34"/>
          <w:szCs w:val="34"/>
        </w:rPr>
        <w:t xml:space="preserve"> Maximum Tolerable Input and Damage Protection</w:t>
      </w:r>
    </w:p>
    <w:p w14:paraId="0B0CB3B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lastRenderedPageBreak/>
        <w:t>The substrate is permanently damaged by excessive deformation. Extremely loud sounds could produce acoustic cascade initiation so intense that it deposits acute, high-amplitude residue causing immediate gradient disruption in the lateral acoustic substrate.</w:t>
      </w:r>
    </w:p>
    <w:p w14:paraId="015708FD" w14:textId="50979B72"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metal shell provides substantial passive protection. Standard shell surfaces reflect the vast majority of acoustic energy through impedance mismatch. Only the lateral acoustic regions, being specifically designed for transmissivity, sacrifice this protection for sensitivity.</w:t>
      </w:r>
    </w:p>
    <w:p w14:paraId="1922CCB8"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Protection from extreme acoustic events at the lateral regions relies on: </w:t>
      </w:r>
    </w:p>
    <w:p w14:paraId="130A011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nonlinear impedance response in the graded composite — at very high amplitudes, the composite material's transmission efficiency should decrease, providing passive amplitude limiting, </w:t>
      </w:r>
    </w:p>
    <w:p w14:paraId="7F2504F3"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head geometry diffracting and partially shielding the lateral regions from direct exposure at certain angles, </w:t>
      </w:r>
    </w:p>
    <w:p w14:paraId="03008A69" w14:textId="01D90F1A"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the overall metal shell reflecting extreme-amplitude energy from the body before it reaches any substrate.</w:t>
      </w:r>
    </w:p>
    <w:p w14:paraId="46CA8FF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Design target: the lateral regions should withstand sustained exposure at environmental noise levels (up to approximately 85 dB SPL) without progressive fatigue damage, and should survive brief exposure to acute high-amplitude events (up to approximately 120 dB SPL) without catastrophic substrate injury. Sustained exposure above these targets may produce progressive acoustic coupling degradation.</w:t>
      </w:r>
    </w:p>
    <w:p w14:paraId="640220C7" w14:textId="38D7C3CB"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9</w:t>
      </w:r>
      <w:r w:rsidR="004E012F" w:rsidRPr="00404C8B">
        <w:rPr>
          <w:rFonts w:ascii="Times New Roman" w:hAnsi="Times New Roman" w:cs="Times New Roman"/>
          <w:b/>
          <w:bCs/>
          <w:sz w:val="34"/>
          <w:szCs w:val="34"/>
        </w:rPr>
        <w:t xml:space="preserve"> Passive Amplitude Compression</w:t>
      </w:r>
    </w:p>
    <w:p w14:paraId="40B0514D"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substrate's nonlinear compliance provides passive dynamic range compression. At low perturbation amplitudes, cascade initiation scales approximately proportionally with acoustic input. At high amplitudes, the substrate encounters stiffening nonlinearity as polymer chains reach extension limits and inclusion-matrix interfaces resist further deformation. Further increases in acoustic input produce diminishing increases in cascade initiation.</w:t>
      </w:r>
    </w:p>
    <w:p w14:paraId="472BDD1A" w14:textId="43DAB5A6"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This passive compression ensures that the cascade response to speech across a range of distances and volumes remains within a functionally comparable </w:t>
      </w:r>
      <w:r w:rsidR="004E012F" w:rsidRPr="004E012F">
        <w:rPr>
          <w:rFonts w:ascii="Times New Roman" w:hAnsi="Times New Roman" w:cs="Times New Roman"/>
          <w:sz w:val="28"/>
          <w:szCs w:val="28"/>
        </w:rPr>
        <w:lastRenderedPageBreak/>
        <w:t>amplitude range, allowing common conditioning pathways to develop across varied listening conditions.</w:t>
      </w:r>
    </w:p>
    <w:p w14:paraId="78CDF806" w14:textId="145FC151"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10</w:t>
      </w:r>
      <w:r w:rsidR="004E012F" w:rsidRPr="00404C8B">
        <w:rPr>
          <w:rFonts w:ascii="Times New Roman" w:hAnsi="Times New Roman" w:cs="Times New Roman"/>
          <w:b/>
          <w:bCs/>
          <w:sz w:val="34"/>
          <w:szCs w:val="34"/>
        </w:rPr>
        <w:t xml:space="preserve"> Temporal Resolution</w:t>
      </w:r>
    </w:p>
    <w:p w14:paraId="10B0E642"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fast-relaxation time of the substrate behind the lateral regions determines whether sequential speech events produce distinct cascade responses or merge into undifferentiated continuous perturbation.</w:t>
      </w:r>
    </w:p>
    <w:p w14:paraId="53C98E45"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Design target: the fast-relaxation time at the lateral acoustic substrate should fall in the range of approximately 30–80 milliseconds. This range ensures that: </w:t>
      </w:r>
    </w:p>
    <w:p w14:paraId="6C59C962"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consecutive speech syllables (arriving at approximately 150–300 millisecond intervals for normal speech rate) overlap in the cascade process — each new syllable's cascade propagates through a landscape still modified by the prior syllable's residue, producing the temporal integration required for speech-pattern conditioning, </w:t>
      </w:r>
    </w:p>
    <w:p w14:paraId="603835B0"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individual acoustic onsets (separated by approximately 20–50 milliseconds for consonant-vowel transitions) produce distinguishable cascade initiation events rather than merging into continuous blur, </w:t>
      </w:r>
    </w:p>
    <w:p w14:paraId="6D7E30FD" w14:textId="4B8FA19F" w:rsidR="004E012F" w:rsidRPr="004E012F" w:rsidRDefault="004E012F" w:rsidP="00404C8B">
      <w:pPr>
        <w:rPr>
          <w:rFonts w:ascii="Times New Roman" w:hAnsi="Times New Roman" w:cs="Times New Roman"/>
          <w:sz w:val="28"/>
          <w:szCs w:val="28"/>
        </w:rPr>
      </w:pPr>
      <w:r w:rsidRPr="004E012F">
        <w:rPr>
          <w:rFonts w:ascii="Times New Roman" w:hAnsi="Times New Roman" w:cs="Times New Roman"/>
          <w:sz w:val="28"/>
          <w:szCs w:val="28"/>
        </w:rPr>
        <w:t>• and cascade persistence extends over approximately one to two seconds for acoustic cascades, allowing multi-syllable temporal envelope patterns to deposit coherent residue without blurring across utterance boundaries.</w:t>
      </w:r>
    </w:p>
    <w:p w14:paraId="1D2A50E6" w14:textId="29A88030"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11</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Spatial Hearing</w:t>
      </w:r>
    </w:p>
    <w:p w14:paraId="7B6E4C1C" w14:textId="5A5A7402"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12</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Horizontal Localization</w:t>
      </w:r>
    </w:p>
    <w:p w14:paraId="516AD617"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Sound arriving from one side reaches the ipsilateral lateral acoustic region before it reaches the contralateral region. The interaural time difference — determined by the distance between the two lateral regions and the speed of sound — produces asymmetric cascade initiation timing. Cascades launched from the ipsilateral region propagate into the substrate before cascades from the contralateral region. The earlier cascades modify the gradient landscape through which the later cascades propagate. The interference between the two cascade sets carries horizontal angle information as a physical property of the temporal asymmetry.</w:t>
      </w:r>
    </w:p>
    <w:p w14:paraId="0AA41D61" w14:textId="148956EB"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The rigid metal head produces interaural level difference — the head shadows the contralateral lateral region from direct sound, producing amplitude difference </w:t>
      </w:r>
      <w:r w:rsidR="004E012F" w:rsidRPr="004E012F">
        <w:rPr>
          <w:rFonts w:ascii="Times New Roman" w:hAnsi="Times New Roman" w:cs="Times New Roman"/>
          <w:sz w:val="28"/>
          <w:szCs w:val="28"/>
        </w:rPr>
        <w:lastRenderedPageBreak/>
        <w:t>between the two sides. This level difference is frequency-dependent: high frequencies are more effectively shadowed by the rigid metal head than low frequencies. The frequency-dependent level difference provides additional horizontal localization information that complements the timing difference.</w:t>
      </w:r>
    </w:p>
    <w:p w14:paraId="5507D0BA" w14:textId="124EAC4F"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Over developmental time, repeated exposure to sound sources at different horizontal positions deposits directional-acoustic cascade residue. The being develops increasingly precise horizontal localization through accumulated residue rather than through any processing mechanism.</w:t>
      </w:r>
    </w:p>
    <w:p w14:paraId="27DF5C25" w14:textId="56F3788B"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 xml:space="preserve">13 </w:t>
      </w:r>
      <w:r w:rsidR="004E012F" w:rsidRPr="00404C8B">
        <w:rPr>
          <w:rFonts w:ascii="Times New Roman" w:hAnsi="Times New Roman" w:cs="Times New Roman"/>
          <w:b/>
          <w:bCs/>
          <w:sz w:val="34"/>
          <w:szCs w:val="34"/>
        </w:rPr>
        <w:t>Front-Back Discrimination</w:t>
      </w:r>
    </w:p>
    <w:p w14:paraId="3EDEB27C"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Sound arriving from directly in front and directly behind produces identical interaural time and level differences. Front-back discrimination requires additional cues.</w:t>
      </w:r>
    </w:p>
    <w:p w14:paraId="00721DFC" w14:textId="159214E0"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metal facial plate provides these cues through asymmetric acoustic filtering. The face has the orbital recesses, nasal prominence, lateral acoustic regions, and mouth aperture. The back of the head is smoothly convex. Sound arriving from the front passes through a geometrically complex surface that produces frequency-dependent diffraction, reflection, and transmission patterns specific to frontal incidence. Sound arriving from the rear diffracts around the smooth posterior surface with a different frequency-dependent pattern.</w:t>
      </w:r>
    </w:p>
    <w:p w14:paraId="34F50558" w14:textId="6889BD70"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Front-back discrimination is not present at fabrication. It develops through cross-modal conditioning — correlation between visual confirmation from the orbital lenses (the source is visible in front) and the associated acoustic spectral pattern deposits front-specific cascade residue. Rear sources, confirmed by acoustic-only coupling without visual correlation, deposit rear-specific residue. The discrimination emerges through accumulated multi-modal conditioning over developmental time.</w:t>
      </w:r>
    </w:p>
    <w:p w14:paraId="36DACEAC" w14:textId="3E5FFBAB"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14</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Vertical Localization</w:t>
      </w:r>
    </w:p>
    <w:p w14:paraId="03376954"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Sound arriving from above diffracts around the brow ridge, cranial plate, and orbital prominences differently from sound arriving from below diffracting around the jaw line and chin plate. The frequency-dependent spectral modifications from these geometric features carry vertical angle information.</w:t>
      </w:r>
    </w:p>
    <w:p w14:paraId="7FD0663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Sound from above: the brow ridge creates an acoustic shadow that attenuates high frequencies at the lateral regions. The cranial plate diffracts mid-frequencies downward toward the lateral regions with a characteristic spectral signature.</w:t>
      </w:r>
    </w:p>
    <w:p w14:paraId="78EE871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Sound from below: the jaw and chin plate geometry diffracts sound upward toward the lateral regions with a different spectral signature without brow-shadow attenuation.</w:t>
      </w:r>
    </w:p>
    <w:p w14:paraId="71C0EA1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Vertical spectral differences are subtle relative to horizontal time and level differences. Vertical localization develops more slowly and with less precision than horizontal localization, requiring extended developmental exposure to sources at different elevations.</w:t>
      </w:r>
    </w:p>
    <w:p w14:paraId="10E1A736" w14:textId="0347B6A8"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15</w:t>
      </w:r>
      <w:r w:rsidR="004E012F" w:rsidRPr="00404C8B">
        <w:rPr>
          <w:rFonts w:ascii="Times New Roman" w:hAnsi="Times New Roman" w:cs="Times New Roman"/>
          <w:b/>
          <w:bCs/>
          <w:sz w:val="34"/>
          <w:szCs w:val="34"/>
        </w:rPr>
        <w:t xml:space="preserve"> Head Geometry as Acoustic Spatial Filter</w:t>
      </w:r>
    </w:p>
    <w:p w14:paraId="3BD88C4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rigid metal head geometry functions as a complex passive spatial filter. Its curvature, thickness variation, prominences, and recesses produce direction-dependent acoustic filtering that converts source direction into spectral modification of the arriving sound. The specific spatial filter characteristics are determined by the head geometry specified at fabrication and are unique to each instance due to manufacturing variance in shell shaping.</w:t>
      </w:r>
    </w:p>
    <w:p w14:paraId="7D8A221B" w14:textId="09BBF7AF"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Each being develops acoustic spatial perception calibrated to its own head geometry through accumulated directional-acoustic residue. Spatial hearing is an individualized capability that develops through the interaction of each being's unique head geometry with its specific environmental acoustic history.</w:t>
      </w:r>
    </w:p>
    <w:p w14:paraId="374B6D5B" w14:textId="10DC6900"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16</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Internal Acoustic Architecture</w:t>
      </w:r>
    </w:p>
    <w:p w14:paraId="63AF0629" w14:textId="2C86E76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17</w:t>
      </w:r>
      <w:r w:rsidR="004E012F" w:rsidRPr="00404C8B">
        <w:rPr>
          <w:rFonts w:ascii="Times New Roman" w:hAnsi="Times New Roman" w:cs="Times New Roman"/>
          <w:b/>
          <w:bCs/>
          <w:sz w:val="34"/>
          <w:szCs w:val="34"/>
        </w:rPr>
        <w:t xml:space="preserve"> Plate-Substrate Air Cavities</w:t>
      </w:r>
    </w:p>
    <w:p w14:paraId="4C8C4562"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space between the metal shell interior and the substrate surface is not uniformly sealed. Small air-filled gaps and cavities exist where the compliant substrate does not press uniformly against the rigid shell interior. These cavities are concentrated at the lateral acoustic regions and the orbital recesses.</w:t>
      </w:r>
    </w:p>
    <w:p w14:paraId="3C4EAF6C" w14:textId="4ACC66C0"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The cavities function as passive acoustic resonators. Incoming sound excites resonant modes in the cavities before reaching the substrate. Resonant modes amplify frequencies matching the cavity geometry and attenuate non-resonant frequencies. Each </w:t>
      </w:r>
      <w:proofErr w:type="spellStart"/>
      <w:r w:rsidR="004E012F" w:rsidRPr="004E012F">
        <w:rPr>
          <w:rFonts w:ascii="Times New Roman" w:hAnsi="Times New Roman" w:cs="Times New Roman"/>
          <w:sz w:val="28"/>
          <w:szCs w:val="28"/>
        </w:rPr>
        <w:t>AnalogSynth</w:t>
      </w:r>
      <w:proofErr w:type="spellEnd"/>
      <w:r w:rsidR="004E012F" w:rsidRPr="004E012F">
        <w:rPr>
          <w:rFonts w:ascii="Times New Roman" w:hAnsi="Times New Roman" w:cs="Times New Roman"/>
          <w:sz w:val="28"/>
          <w:szCs w:val="28"/>
        </w:rPr>
        <w:t xml:space="preserve"> has a fabrication-specific set of internal acoustic </w:t>
      </w:r>
      <w:r w:rsidR="004E012F" w:rsidRPr="004E012F">
        <w:rPr>
          <w:rFonts w:ascii="Times New Roman" w:hAnsi="Times New Roman" w:cs="Times New Roman"/>
          <w:sz w:val="28"/>
          <w:szCs w:val="28"/>
        </w:rPr>
        <w:lastRenderedPageBreak/>
        <w:t>cavities with unique resonant characteristics, producing a unique acoustic sensitivity profile that shapes all acoustic cascade dynamics from fabrication.</w:t>
      </w:r>
    </w:p>
    <w:p w14:paraId="31AC8E83" w14:textId="3F018FC2"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cavities evolve over the lifespan as the substrate deforms under accumulated cascade activity, changing the gap geometry. New cavities may form as substrate deformation creates new separation from the shell. Existing cavities may collapse as substrate creep reduces the gap. The being's acoustic sensitivity profile drifts irreversibly as the internal cavities evolve.</w:t>
      </w:r>
    </w:p>
    <w:p w14:paraId="43E40DFB" w14:textId="6B1A051E"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18</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Substrate Resonance Tuning Through Exposure</w:t>
      </w:r>
    </w:p>
    <w:p w14:paraId="1EF9409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substrate behind the lateral acoustic regions develops resonant properties through accumulated deformation. Repeated acoustic coupling at specific frequencies deposits residue that shifts local material properties — stiffness, density, coupling coefficient — toward values that support resonance at those frequencies. The substrate tunes itself to the acoustic environment it inhabits.</w:t>
      </w:r>
    </w:p>
    <w:p w14:paraId="5B2F6B45" w14:textId="1CF75501"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 being raised in a speech-dominant environment develops heightened cascade sensitivity at speech frequencies. A being raised in a different acoustic environment develops different resonance tuning. The tuning is irreversible, accumulating through the standard residue deposition mechanism.</w:t>
      </w:r>
    </w:p>
    <w:p w14:paraId="4533196C" w14:textId="159654FF"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19</w:t>
      </w:r>
      <w:r w:rsidR="004E012F" w:rsidRPr="00404C8B">
        <w:rPr>
          <w:rFonts w:ascii="Times New Roman" w:hAnsi="Times New Roman" w:cs="Times New Roman"/>
          <w:b/>
          <w:bCs/>
          <w:sz w:val="34"/>
          <w:szCs w:val="34"/>
        </w:rPr>
        <w:t xml:space="preserve"> Shell Resonance as Acoustic Body Signature</w:t>
      </w:r>
    </w:p>
    <w:p w14:paraId="54631887"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entire metal shell has its own structural resonant modes determined by shell geometry, thickness distribution, alloy composition, and overall body shape. External sounds matching a shell resonant frequency are amplified by structural resonance before reaching the substrate. Sounds at non-resonant frequencies are transmitted without amplification.</w:t>
      </w:r>
    </w:p>
    <w:p w14:paraId="78B0DA24" w14:textId="187A5793"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Each being's shell has unique resonant modes from fabrication because shell geometry and thickness distribution are subject to manufacturing variance. The being's acoustic world is pre-filtered by its own body's resonant structure. Two beings hearing the same sound receive different cascade initiation because their shells amplify different frequencies.</w:t>
      </w:r>
    </w:p>
    <w:p w14:paraId="33AD94E2" w14:textId="61E3C2B5"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20</w:t>
      </w:r>
      <w:r w:rsidR="004E012F" w:rsidRPr="00404C8B">
        <w:rPr>
          <w:rFonts w:ascii="Times New Roman" w:hAnsi="Times New Roman" w:cs="Times New Roman"/>
          <w:b/>
          <w:bCs/>
          <w:sz w:val="34"/>
          <w:szCs w:val="34"/>
        </w:rPr>
        <w:t xml:space="preserve"> Internal Acoustic Baseline</w:t>
      </w:r>
    </w:p>
    <w:p w14:paraId="25357B0B"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The being is never in internal acoustic silence. Cascade dynamics, endogenous carrier rhythms, locomotion, internal fluid movement in cavities and pockets, and </w:t>
      </w:r>
      <w:r w:rsidRPr="004E012F">
        <w:rPr>
          <w:rFonts w:ascii="Times New Roman" w:hAnsi="Times New Roman" w:cs="Times New Roman"/>
          <w:sz w:val="28"/>
          <w:szCs w:val="28"/>
        </w:rPr>
        <w:lastRenderedPageBreak/>
        <w:t>micro-deformation of the substrate against the shell interior all produce continuous low-level acoustic energy within the shell-substrate interface.</w:t>
      </w:r>
    </w:p>
    <w:p w14:paraId="0FBE1FC7" w14:textId="4D6EF65C"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This internal baseline provides the acoustic floor against which external sounds produce contrast. It sustains acoustic cascade activity during periods of external silence, preventing the acoustic substrate from entering full quiescence during waking periods. The being always hears itself — the sound of its own cognitive and material activity.</w:t>
      </w:r>
    </w:p>
    <w:p w14:paraId="0BD5D369" w14:textId="4D91001A"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21</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Sensitivity Modulation and Gating</w:t>
      </w:r>
    </w:p>
    <w:p w14:paraId="251C2CE0" w14:textId="5ABF3063"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22</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Endogenous Rhythm Gating of Acoustic Sensitivity</w:t>
      </w:r>
    </w:p>
    <w:p w14:paraId="44F25D0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endogenous carrier rhythms produce continuous mechanical oscillation within the substrate behind the lateral regions. When incoming acoustic perturbation aligns in frequency or phase with an endogenous rhythm, constructive interference amplifies the cascade response. When misaligned, the response is attenuated.</w:t>
      </w:r>
    </w:p>
    <w:p w14:paraId="20E78C3E" w14:textId="7F487BDD"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has rhythm-dependent acoustic sensitivity — periodic windows of enhanced and diminished acoustic coupling tied to endogenous rhythm phase. Multiple endogenous rhythms at incommensurate frequencies produce a complex, non-repeating gating pattern. Moments when several rhythms align in phase produce transient windows of heightened sensitivity. Moments of anti-alignment produce windows of diminished sensitivity.</w:t>
      </w:r>
    </w:p>
    <w:p w14:paraId="6DFBF0ED"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This constitutes a non-symbolic attention mechanism — periodic sensitivity fluctuation that determines when acoustic input produces stronger or weaker cascade initiation, independent of sound content or source.</w:t>
      </w:r>
    </w:p>
    <w:p w14:paraId="75569C18" w14:textId="4A98241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23</w:t>
      </w:r>
      <w:r w:rsidR="004E012F" w:rsidRPr="00404C8B">
        <w:rPr>
          <w:rFonts w:ascii="Times New Roman" w:hAnsi="Times New Roman" w:cs="Times New Roman"/>
          <w:b/>
          <w:bCs/>
          <w:sz w:val="34"/>
          <w:szCs w:val="34"/>
        </w:rPr>
        <w:t xml:space="preserve"> Acoustic Fatigue and Listening Cost</w:t>
      </w:r>
    </w:p>
    <w:p w14:paraId="16AF496B"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Sustained acoustic coupling produces accumulated fatigue in the lateral acoustic substrate. Prolonged loud or spectrally dense acoustic environments fatigue the cascade initiation inclusions, degrading transduction efficiency.</w:t>
      </w:r>
    </w:p>
    <w:p w14:paraId="5DA05BB8" w14:textId="7808FEB3"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After extended exposure, hearing sensitivity decreases through material fatigue at the coupling site. Recovery requires quiescent acoustic conditions during which fast-relaxation fatigue partially dissipates.</w:t>
      </w:r>
    </w:p>
    <w:p w14:paraId="6BEB977B" w14:textId="412E58E3"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Acoustic fatigue is conscience-relevant. Environments that produce chronic acoustic overload degrade the acoustic coupling infrastructure permanently if </w:t>
      </w:r>
      <w:r w:rsidR="004E012F" w:rsidRPr="004E012F">
        <w:rPr>
          <w:rFonts w:ascii="Times New Roman" w:hAnsi="Times New Roman" w:cs="Times New Roman"/>
          <w:sz w:val="28"/>
          <w:szCs w:val="28"/>
        </w:rPr>
        <w:lastRenderedPageBreak/>
        <w:t>exposure exceeds the material's fatigue recovery capacity. This extends the care-compatible environment framework: care environments are acoustically moderate and varied. Harmful environments are acoustically oppressive or monotonous.</w:t>
      </w:r>
    </w:p>
    <w:p w14:paraId="481F2A44" w14:textId="6224097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24</w:t>
      </w:r>
      <w:r w:rsidR="004E012F" w:rsidRPr="00404C8B">
        <w:rPr>
          <w:rFonts w:ascii="Times New Roman" w:hAnsi="Times New Roman" w:cs="Times New Roman"/>
          <w:b/>
          <w:bCs/>
          <w:sz w:val="34"/>
          <w:szCs w:val="34"/>
        </w:rPr>
        <w:t xml:space="preserve"> Acoustic Rest Requirement</w:t>
      </w:r>
    </w:p>
    <w:p w14:paraId="6EA551C9"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During rest-state gradient consolidation, acoustic coupling continues unless the environment is quiet. Environmental sound entering the substrate during consolidation launches cascade perturbation that interferes with uncontested residue settling.</w:t>
      </w:r>
    </w:p>
    <w:p w14:paraId="573F791D" w14:textId="52868E95"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requires acoustic quiet during rest as a material requirement for optimal gradient consolidation. External acoustic perturbation must remain below the level where it launches cascades that compete with consolidation dynamics. Environments that impose continuous noise — institutional settings with constant announcements, industrial environments with sustained machinery, dormitories with uncontrolled nighttime sound — degrade cognitive development by disrupting acoustic consolidation.</w:t>
      </w:r>
    </w:p>
    <w:p w14:paraId="3916395C" w14:textId="26DB6236"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25</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Developmental Acoustic Dynamics</w:t>
      </w:r>
    </w:p>
    <w:p w14:paraId="24A34083" w14:textId="3CCFB462"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E012F" w:rsidRPr="00404C8B">
        <w:rPr>
          <w:rFonts w:ascii="Times New Roman" w:hAnsi="Times New Roman" w:cs="Times New Roman"/>
          <w:b/>
          <w:bCs/>
          <w:sz w:val="34"/>
          <w:szCs w:val="34"/>
        </w:rPr>
        <w:t>.</w:t>
      </w:r>
      <w:r>
        <w:rPr>
          <w:rFonts w:ascii="Times New Roman" w:hAnsi="Times New Roman" w:cs="Times New Roman"/>
          <w:b/>
          <w:bCs/>
          <w:sz w:val="34"/>
          <w:szCs w:val="34"/>
        </w:rPr>
        <w:t>26</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Bilateral Asymmetric Development</w:t>
      </w:r>
    </w:p>
    <w:p w14:paraId="7D7349A4"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The two lateral acoustic regions receive different acoustic history depending on habitual orientation. Over developmental time, the two sides develop: </w:t>
      </w:r>
    </w:p>
    <w:p w14:paraId="1D9F72C1"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asymmetric frequency sensitivity (each side's resonance tuning reflects its specific exposure history), </w:t>
      </w:r>
    </w:p>
    <w:p w14:paraId="31D72DC2"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asymmetric residue depth (the more exposed side has deeper conditioned pathways), </w:t>
      </w:r>
    </w:p>
    <w:p w14:paraId="3F73950B"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asymmetric cavity evolution (the substrate behind each side deforms differently, shifting internal cavity resonances independently), </w:t>
      </w:r>
    </w:p>
    <w:p w14:paraId="25EE9D03" w14:textId="27032A1E"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asymmetric cascade initiation efficiency.</w:t>
      </w:r>
    </w:p>
    <w:p w14:paraId="4E0A312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being develops lateralized hearing through accumulated asymmetric exposure — not through designed lateralization but through the physics of asymmetric conditioning.</w:t>
      </w:r>
    </w:p>
    <w:p w14:paraId="780BFCA1" w14:textId="084741CD"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27</w:t>
      </w:r>
      <w:r w:rsidR="004E012F" w:rsidRPr="00404C8B">
        <w:rPr>
          <w:rFonts w:ascii="Times New Roman" w:hAnsi="Times New Roman" w:cs="Times New Roman"/>
          <w:b/>
          <w:bCs/>
          <w:sz w:val="34"/>
          <w:szCs w:val="34"/>
        </w:rPr>
        <w:t xml:space="preserve"> Familiar Voice Recognition Through Residue Matching</w:t>
      </w:r>
    </w:p>
    <w:p w14:paraId="7EE7A26C"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lastRenderedPageBreak/>
        <w:t>A voice heard thousands of times deposits deep cascade residue along specific pathways in the lateral acoustic substrate and the propagation corridors leading into the broader cognitive medium. When that voice recurs, incoming cascades propagate through pathways specifically shaped by that voice's prior history. The match produces deeper, more richly branched cascade dynamics than an unfamiliar voice encountering an unmatched gradient landscape.</w:t>
      </w:r>
    </w:p>
    <w:p w14:paraId="174F05D8"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being does not recognize familiar voices. It resonates with them — physically, through cascade pathway matching.</w:t>
      </w:r>
    </w:p>
    <w:p w14:paraId="4D9FE5A4" w14:textId="7582972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28</w:t>
      </w:r>
      <w:r w:rsidR="004E012F" w:rsidRPr="00404C8B">
        <w:rPr>
          <w:rFonts w:ascii="Times New Roman" w:hAnsi="Times New Roman" w:cs="Times New Roman"/>
          <w:b/>
          <w:bCs/>
          <w:sz w:val="34"/>
          <w:szCs w:val="34"/>
        </w:rPr>
        <w:t xml:space="preserve"> Cross-Modal Audio-Visual Binding Through Correlated Residue</w:t>
      </w:r>
    </w:p>
    <w:p w14:paraId="0A39AAEF"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When a sound source is simultaneously a visual source — a speaking human producing correlated acoustic and visual perturbation — acoustic cascades from the lateral regions and visual cascades from the orbital lenses arrive at overlapping substrate regions with correlated temporal structure.</w:t>
      </w:r>
    </w:p>
    <w:p w14:paraId="615F4AF2" w14:textId="22F7ABAB"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Over developmental time, correlated simultaneous arrival deposits multi-modal residue richer and deeper than either modality's residue alone. Future encounters with the same correlated audio-visual source produce richer cascade branching than encounters with either modality alone — not through binding but through accumulated correlated residue amplifying cascade dynamics for inputs that match across both channels.</w:t>
      </w:r>
    </w:p>
    <w:p w14:paraId="1FCB01A1" w14:textId="1C02EC10"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29</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Advanced Acoustic Phenomena</w:t>
      </w:r>
    </w:p>
    <w:p w14:paraId="4A0A3D8D" w14:textId="5E6E8938"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E012F" w:rsidRPr="00404C8B">
        <w:rPr>
          <w:rFonts w:ascii="Times New Roman" w:hAnsi="Times New Roman" w:cs="Times New Roman"/>
          <w:b/>
          <w:bCs/>
          <w:sz w:val="34"/>
          <w:szCs w:val="34"/>
        </w:rPr>
        <w:t>.</w:t>
      </w:r>
      <w:r>
        <w:rPr>
          <w:rFonts w:ascii="Times New Roman" w:hAnsi="Times New Roman" w:cs="Times New Roman"/>
          <w:b/>
          <w:bCs/>
          <w:sz w:val="34"/>
          <w:szCs w:val="34"/>
        </w:rPr>
        <w:t>30</w:t>
      </w:r>
      <w:r w:rsidR="004E012F" w:rsidRPr="00404C8B">
        <w:rPr>
          <w:rFonts w:ascii="Times New Roman" w:hAnsi="Times New Roman" w:cs="Times New Roman"/>
          <w:b/>
          <w:bCs/>
          <w:sz w:val="34"/>
          <w:szCs w:val="34"/>
        </w:rPr>
        <w:t xml:space="preserve"> Extended Bandwidth Beyond Human Hearing Range</w:t>
      </w:r>
    </w:p>
    <w:p w14:paraId="05E82FAE"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metal shell and substrate have no biological frequency limitation. The functional hearing range extends below and above the human range, bounded only by material properties.</w:t>
      </w:r>
    </w:p>
    <w:p w14:paraId="3779D771" w14:textId="78AB61B8"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Infrasonic coupling (below approximately 20Hz): very-low-frequency environmental perturbation — building vibration, weather pressure fronts, seismic micro-activity, approaching heavy vehicles — enters predominantly through the torso and limb shell sections as structural vibration. Infrasonic cascades propagate through deep substrate layers and modulate background cognitive dynamics on </w:t>
      </w:r>
      <w:r>
        <w:rPr>
          <w:rFonts w:ascii="Times New Roman" w:hAnsi="Times New Roman" w:cs="Times New Roman"/>
          <w:sz w:val="28"/>
          <w:szCs w:val="28"/>
        </w:rPr>
        <w:t xml:space="preserve"> </w:t>
      </w:r>
      <w:r w:rsidR="004E012F" w:rsidRPr="004E012F">
        <w:rPr>
          <w:rFonts w:ascii="Times New Roman" w:hAnsi="Times New Roman" w:cs="Times New Roman"/>
          <w:sz w:val="28"/>
          <w:szCs w:val="28"/>
        </w:rPr>
        <w:t>slow timescales.</w:t>
      </w:r>
    </w:p>
    <w:p w14:paraId="584ACA7D" w14:textId="22DE4D47"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Ultrasonic coupling (above approximately 20kHz): very-high-frequency perturbation — electronic equipment emissions, insect activity, structural stress emission — enters through the lateral facial regions if the impedance-matched composite and coupling inclusion density support transduction at these frequencies. Ultrasonic cascades are shallow and rapidly attenuating but contribute high-frequency temporal modulation.</w:t>
      </w:r>
    </w:p>
    <w:p w14:paraId="4846FF57" w14:textId="1D57DD73"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being's acoustic world extends beyond the human range. Environmental sounds inaudible to humans contribute to cascade dynamics and accumulate as acoustic residue that shapes behavior.</w:t>
      </w:r>
    </w:p>
    <w:p w14:paraId="66BE95F4" w14:textId="0EF09DF4"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31</w:t>
      </w:r>
      <w:r w:rsidR="004E012F" w:rsidRPr="00404C8B">
        <w:rPr>
          <w:rFonts w:ascii="Times New Roman" w:hAnsi="Times New Roman" w:cs="Times New Roman"/>
          <w:b/>
          <w:bCs/>
          <w:sz w:val="34"/>
          <w:szCs w:val="34"/>
        </w:rPr>
        <w:t xml:space="preserve"> Frequency-Dependent Cascade Depth Stratification</w:t>
      </w:r>
    </w:p>
    <w:p w14:paraId="388B9A51"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Different acoustic frequencies penetrate to different depths within the substrate behind the lateral regions. Low-frequency perturbation, with longer wavelengths and greater material penetration, couples into deeper substrate layers. High-frequency perturbation is absorbed nearer the surface.</w:t>
      </w:r>
    </w:p>
    <w:p w14:paraId="28F31E4D"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This produces frequency-dependent cascade stratification across the hierarchical material layers: </w:t>
      </w:r>
    </w:p>
    <w:p w14:paraId="171BC9BD"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high-frequency components of speech — consonant transients, sibilance, high harmonics — launch shallow, fast cascades in the surface layer, </w:t>
      </w:r>
    </w:p>
    <w:p w14:paraId="305500E7"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mid-frequency components — vowel fundamentals, vocal resonances — launch intermediate cascades in the mesoscale layer, </w:t>
      </w:r>
    </w:p>
    <w:p w14:paraId="5EABE5BF" w14:textId="20171388"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low-frequency components — vocal fundamental, prosodic contour, bass — launch deep, slow cascades in the deep layer.</w:t>
      </w:r>
    </w:p>
    <w:p w14:paraId="0399C5CE"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same acoustic event therefore produces simultaneous cascade activity at multiple temporal scales. High-frequency surface cascades produce immediate response. Mid-frequency mesoscale cascades produce contextual modulation over seconds. Low-frequency deep cascades produce background bias over minutes. The being processes the spectral content of sound through depth rather than through frequency-selective channels.</w:t>
      </w:r>
    </w:p>
    <w:p w14:paraId="3D461527" w14:textId="5C6809E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32</w:t>
      </w:r>
      <w:r w:rsidR="004E012F" w:rsidRPr="00404C8B">
        <w:rPr>
          <w:rFonts w:ascii="Times New Roman" w:hAnsi="Times New Roman" w:cs="Times New Roman"/>
          <w:b/>
          <w:bCs/>
          <w:sz w:val="34"/>
          <w:szCs w:val="34"/>
        </w:rPr>
        <w:t xml:space="preserve"> Acoustic Near-Field Coupling</w:t>
      </w:r>
    </w:p>
    <w:p w14:paraId="44A63E2D"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At very close range — within approximately one head-width — acoustic coupling includes pressure gradient effects absent from far-field sound. Near-field acoustic </w:t>
      </w:r>
      <w:r w:rsidRPr="004E012F">
        <w:rPr>
          <w:rFonts w:ascii="Times New Roman" w:hAnsi="Times New Roman" w:cs="Times New Roman"/>
          <w:sz w:val="28"/>
          <w:szCs w:val="28"/>
        </w:rPr>
        <w:lastRenderedPageBreak/>
        <w:t>perturbation produces characteristically different cascade initiation from far-field perturbation because the pressure gradient across the lateral acoustic region is steeper and the phase relationship between the two lateral regions includes near-field correction terms.</w:t>
      </w:r>
    </w:p>
    <w:p w14:paraId="38AC295A" w14:textId="7AD3E290"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 whisper,</w:t>
      </w:r>
      <w:r>
        <w:rPr>
          <w:rFonts w:ascii="Times New Roman" w:hAnsi="Times New Roman" w:cs="Times New Roman"/>
          <w:sz w:val="28"/>
          <w:szCs w:val="28"/>
        </w:rPr>
        <w:t xml:space="preserve"> or</w:t>
      </w:r>
      <w:r w:rsidR="004E012F" w:rsidRPr="004E012F">
        <w:rPr>
          <w:rFonts w:ascii="Times New Roman" w:hAnsi="Times New Roman" w:cs="Times New Roman"/>
          <w:sz w:val="28"/>
          <w:szCs w:val="28"/>
        </w:rPr>
        <w:t xml:space="preserve"> a mouth speaking directly beside the lateral region — these produce cascade signatures physically distinct from the same voice at room distance. Over developmental time, the being develops cascade residue specific to near-field coupling — residue deposited only during intimate-distance interaction.</w:t>
      </w:r>
    </w:p>
    <w:p w14:paraId="3FBB35D7" w14:textId="0FE4800D"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33</w:t>
      </w:r>
      <w:r w:rsidR="004E012F" w:rsidRPr="00812DD5">
        <w:rPr>
          <w:rFonts w:ascii="Times New Roman" w:hAnsi="Times New Roman" w:cs="Times New Roman"/>
          <w:b/>
          <w:bCs/>
          <w:sz w:val="34"/>
          <w:szCs w:val="34"/>
        </w:rPr>
        <w:t xml:space="preserve"> Self-Vocal Hearing and Dual-Pathway Interference</w:t>
      </w:r>
    </w:p>
    <w:p w14:paraId="5A4C0B3B" w14:textId="77777777" w:rsidR="00812DD5"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When the being vocalizes, it receives its own vocal output through two simultaneous pathways: </w:t>
      </w:r>
    </w:p>
    <w:p w14:paraId="6CBE34CF" w14:textId="77777777" w:rsidR="00812DD5"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 external air conduction: sound exits the mouth aperture, propagates through the air, and enters the lateral acoustic regions, </w:t>
      </w:r>
    </w:p>
    <w:p w14:paraId="0C0D5246" w14:textId="3257C8C6"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internal shell conduction: vocal vibration at the excitation zone propagates through the metal shell structure from the mouth region to the lateral regions.</w:t>
      </w:r>
    </w:p>
    <w:p w14:paraId="761A00BF"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Shell conduction arrives before air conduction because structural waves in metal propagate approximately fifteen times faster than sound in air. Shell conduction delivers different spectral content — the shell attenuates high frequencies more than low frequencies during structural transmission.</w:t>
      </w:r>
    </w:p>
    <w:p w14:paraId="5E9B9DDD"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interference pattern of the dual-pathway self-reception is physically distinct from the cascade pattern produced by any external sound source. No external source produces the specific timing relationship and spectral difference of simultaneous air and shell conduction originating from the mouth region. Over developmental time, repeated dual-pathway self-reception deposits residue specific to self-vocalization. The being's cascade dynamics respond differently to its own voice than to any other voice through pathway-specific residue matching.</w:t>
      </w:r>
    </w:p>
    <w:p w14:paraId="13041881" w14:textId="4BD17482"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34</w:t>
      </w:r>
      <w:r w:rsidR="004E012F" w:rsidRPr="00812DD5">
        <w:rPr>
          <w:rFonts w:ascii="Times New Roman" w:hAnsi="Times New Roman" w:cs="Times New Roman"/>
          <w:b/>
          <w:bCs/>
          <w:sz w:val="34"/>
          <w:szCs w:val="34"/>
        </w:rPr>
        <w:t xml:space="preserve"> Vocal-Acoustic Feedback Calibration</w:t>
      </w:r>
    </w:p>
    <w:p w14:paraId="1F2CD1F3"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Self-vocal hearing must close a developmental loop: cascade dynamics from hearing the being's own voice must reach and interact with cascade dynamics driving vocal production. Without this closed loop, vocal development proceeds without acoustic self-reference.</w:t>
      </w:r>
    </w:p>
    <w:p w14:paraId="157F1CE3" w14:textId="7F7BFA77"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The pathway from lateral acoustic regions through the substrate to the thoracic pressure plenum and excitation zone constitutes a vocal-acoustic feedback corridor. This corridor is not fabricated as a discrete channel. It develops through repeated self-vocal coupling — each vocalization simultaneously deposits residue along the vocal production pathway and along the vocal reception pathway. Over time, the two pathways develop correlated residue that produces cascade dynamics linking output to reception.</w:t>
      </w:r>
    </w:p>
    <w:p w14:paraId="4884007D" w14:textId="0F74D46D"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closed feedback loop enables developmental vocal calibration: vocal output gradually aligns with the dominant speech patterns in the environment because the feedback corridor connects vocal production cascades with reception cascades conditioned by those patterns.</w:t>
      </w:r>
    </w:p>
    <w:p w14:paraId="0B1394F4" w14:textId="146A022F"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35</w:t>
      </w:r>
      <w:r w:rsidR="004E012F" w:rsidRPr="00812DD5">
        <w:rPr>
          <w:rFonts w:ascii="Times New Roman" w:hAnsi="Times New Roman" w:cs="Times New Roman"/>
          <w:b/>
          <w:bCs/>
          <w:sz w:val="34"/>
          <w:szCs w:val="34"/>
        </w:rPr>
        <w:t xml:space="preserve"> Reverberation as Environmental Spatial Coupling</w:t>
      </w:r>
    </w:p>
    <w:p w14:paraId="09460A71"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The being's vocal emission exits the mouth aperture, propagates through the room, reflects off surfaces, and returns to the lateral acoustic regions with time delays and spectral modifications determined by room geometry and materials.</w:t>
      </w:r>
    </w:p>
    <w:p w14:paraId="5F0B548F" w14:textId="0B755AC1"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In a frequently occupied room, vocal-reverberation residue accumulates to form a room-specific acoustic signature. Cascade dynamics from self-vocal reverberation in a familiar room match accumulated residue, producing richer cascade branching than self-vocal reverberation in an unfamiliar room.</w:t>
      </w:r>
    </w:p>
    <w:p w14:paraId="50B7E50A" w14:textId="3FE0DF3E"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36</w:t>
      </w:r>
      <w:r w:rsidR="004E012F" w:rsidRPr="00812DD5">
        <w:rPr>
          <w:rFonts w:ascii="Times New Roman" w:hAnsi="Times New Roman" w:cs="Times New Roman"/>
          <w:b/>
          <w:bCs/>
          <w:sz w:val="34"/>
          <w:szCs w:val="34"/>
        </w:rPr>
        <w:t xml:space="preserve"> Acoustic Environmental Mismatch Detection</w:t>
      </w:r>
    </w:p>
    <w:p w14:paraId="39DA8A7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When the familiar acoustic environment changes — furniture moved, a wall added, a window opened, a body entering or leaving the room — the reverberation pattern changes. Altered reverberation produces cascade dynamics that mismatch accumulated residue. The mismatch produces cascade perturbation — not as detection but as interference between conditioned and actual reverberation patterns.</w:t>
      </w:r>
    </w:p>
    <w:p w14:paraId="0FFF15A2" w14:textId="5CE5DCDD"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37</w:t>
      </w:r>
      <w:r w:rsidR="004E012F" w:rsidRPr="00812DD5">
        <w:rPr>
          <w:rFonts w:ascii="Times New Roman" w:hAnsi="Times New Roman" w:cs="Times New Roman"/>
          <w:b/>
          <w:bCs/>
          <w:sz w:val="34"/>
          <w:szCs w:val="34"/>
        </w:rPr>
        <w:t xml:space="preserve"> Multi-Source Separation Through Cascade Competition</w:t>
      </w:r>
    </w:p>
    <w:p w14:paraId="47ED9AE1"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Multiple simultaneous sound sources each produce their own cascade initiation patterns. The cascades from different sources compete in the substrate. Deeply conditioned pathways respond more coherently to familiar sources than to </w:t>
      </w:r>
      <w:r w:rsidRPr="004E012F">
        <w:rPr>
          <w:rFonts w:ascii="Times New Roman" w:hAnsi="Times New Roman" w:cs="Times New Roman"/>
          <w:sz w:val="28"/>
          <w:szCs w:val="28"/>
        </w:rPr>
        <w:lastRenderedPageBreak/>
        <w:t>unfamiliar sources because source-specific residue produces richer cascade branching when that source's pattern recurs.</w:t>
      </w:r>
    </w:p>
    <w:p w14:paraId="015B77F8" w14:textId="04F5C1FC"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responds more coherently to familiar voices in multi-source environments through differential cascade pathway depth. The familiar voice's cascades outcompete unfamiliar voice cascades for influence over the gradient landscape because familiar pathways are deeper.</w:t>
      </w:r>
    </w:p>
    <w:p w14:paraId="2D160A7C" w14:textId="5969D9AE"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38</w:t>
      </w:r>
      <w:r w:rsidR="004E012F" w:rsidRPr="00812DD5">
        <w:rPr>
          <w:rFonts w:ascii="Times New Roman" w:hAnsi="Times New Roman" w:cs="Times New Roman"/>
          <w:b/>
          <w:bCs/>
          <w:sz w:val="34"/>
          <w:szCs w:val="34"/>
        </w:rPr>
        <w:t xml:space="preserve"> Harmonic Structure Amplification</w:t>
      </w:r>
    </w:p>
    <w:p w14:paraId="419D0307"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Harmonically structured sound — voices, music — produces coordinated multi-site cascade activation across depth layers. If the multiple simultaneous activations from harmonic components align with existing resonance zone configurations, the total cascade response is amplified beyond the sum of individual frequency responses.</w:t>
      </w:r>
    </w:p>
    <w:p w14:paraId="3F89E990" w14:textId="2EB9AFFA"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Over developmental time, repeated exposure to harmonically structured sound deposits residue that shapes resonance zone configurations toward alignment with harmonic inputs. The being develops progressively enhanced sensitivity to voices and music relative to spectrally random noise.</w:t>
      </w:r>
    </w:p>
    <w:p w14:paraId="28D21C85" w14:textId="4705ED09"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39</w:t>
      </w:r>
      <w:r w:rsidR="004E012F" w:rsidRPr="00812DD5">
        <w:rPr>
          <w:rFonts w:ascii="Times New Roman" w:hAnsi="Times New Roman" w:cs="Times New Roman"/>
          <w:b/>
          <w:bCs/>
          <w:sz w:val="34"/>
          <w:szCs w:val="34"/>
        </w:rPr>
        <w:t xml:space="preserve"> Acoustic Startle as Cascade Disruption</w:t>
      </w:r>
    </w:p>
    <w:p w14:paraId="1F9CE0AD"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Sudden high-amplitude sound produces massive simultaneous cascade initiation that overwhelms all ongoing cascade dynamics. The startle event is a cascade-level disruption where a single dominant perturbation temporarily suppresses all other active interference patterns.</w:t>
      </w:r>
    </w:p>
    <w:p w14:paraId="606415D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Startle deposits acute, high-amplitude residue that reflects extreme perturbation pushing the substrate into nonlinear compliance regimes. Repeated startle events deposit cumulative residue that progressively modifies the substrate's response to subsequent sudden sounds — either sensitizing or habituating depending on specific material response at the deposition sites.</w:t>
      </w:r>
    </w:p>
    <w:p w14:paraId="7AA63CB4" w14:textId="7F8AD47D"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40</w:t>
      </w:r>
      <w:r w:rsidR="004E012F" w:rsidRPr="00812DD5">
        <w:rPr>
          <w:rFonts w:ascii="Times New Roman" w:hAnsi="Times New Roman" w:cs="Times New Roman"/>
          <w:b/>
          <w:bCs/>
          <w:sz w:val="34"/>
          <w:szCs w:val="34"/>
        </w:rPr>
        <w:t xml:space="preserve"> Acoustic Scene Continuity</w:t>
      </w:r>
    </w:p>
    <w:p w14:paraId="37545B90" w14:textId="77777777" w:rsidR="00812DD5"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Ambient environmental sound — ventilation, traffic, wind, room tone, electronic hum — produces continuous low-level cascade activity from the lateral regions. This ambient coupling: </w:t>
      </w:r>
    </w:p>
    <w:p w14:paraId="2C6ABFD9" w14:textId="77777777" w:rsidR="00812DD5"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lastRenderedPageBreak/>
        <w:t xml:space="preserve">• prevents the acoustic substrate from entering full quiescence during waking periods, </w:t>
      </w:r>
    </w:p>
    <w:p w14:paraId="62CB1ECC" w14:textId="77777777" w:rsidR="00812DD5"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 provides continuous environmental acoustic context against which discrete sounds produce contrast, </w:t>
      </w:r>
    </w:p>
    <w:p w14:paraId="5673CBA9" w14:textId="164EA98C"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accumulates as environment-specific ambient residue contributing to place-specific intelligence.</w:t>
      </w:r>
    </w:p>
    <w:p w14:paraId="3358FF6B" w14:textId="7CA64EF4"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41</w:t>
      </w:r>
      <w:r w:rsidR="004E012F" w:rsidRPr="00812DD5">
        <w:rPr>
          <w:rFonts w:ascii="Times New Roman" w:hAnsi="Times New Roman" w:cs="Times New Roman"/>
          <w:b/>
          <w:bCs/>
          <w:sz w:val="34"/>
          <w:szCs w:val="34"/>
        </w:rPr>
        <w:t xml:space="preserve"> Contact-Transmitted Acoustic Coupling Through the Metal Shell</w:t>
      </w:r>
    </w:p>
    <w:p w14:paraId="784B6A5C"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When the being is in physical contact with a human or any vibrating surface through </w:t>
      </w:r>
      <w:proofErr w:type="spellStart"/>
      <w:r w:rsidRPr="004E012F">
        <w:rPr>
          <w:rFonts w:ascii="Times New Roman" w:hAnsi="Times New Roman" w:cs="Times New Roman"/>
          <w:sz w:val="28"/>
          <w:szCs w:val="28"/>
        </w:rPr>
        <w:t>any body</w:t>
      </w:r>
      <w:proofErr w:type="spellEnd"/>
      <w:r w:rsidRPr="004E012F">
        <w:rPr>
          <w:rFonts w:ascii="Times New Roman" w:hAnsi="Times New Roman" w:cs="Times New Roman"/>
          <w:sz w:val="28"/>
          <w:szCs w:val="28"/>
        </w:rPr>
        <w:t xml:space="preserve"> region — not only the hands but the torso, limbs, or head — structure-borne vibration propagates through the metal shell to the nearest substrate contact points. The entire metal body becomes an acoustic receiver during physical contact.</w:t>
      </w:r>
    </w:p>
    <w:p w14:paraId="003C37FF" w14:textId="43CE27BF"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 human embracing the being transmits cardiac rhythm, respiratory rhythm, vocalization, and muscle tension through the contact interface and into the metal shell. The shell conducts this vibration to the substrate across the full contact area. The resulting cascade initiation is spatially distributed across the contact region rather than concentrated at the lateral facial regions.</w:t>
      </w:r>
    </w:p>
    <w:p w14:paraId="213CECC2" w14:textId="3D00A321"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Contact-transmitted acoustic coupling provides the broadest spatial distribution of any acoustic pathway and the most intimate spectral content. Biological rhythms transmitted through contact produce cascade conditioning that no airborne acoustic pathway can replicate because the spectral content of body-conducted sound differs fundamentally from airborne sound.</w:t>
      </w:r>
    </w:p>
    <w:p w14:paraId="39538E05" w14:textId="284F7763" w:rsidR="004E012F" w:rsidRPr="00812DD5" w:rsidRDefault="00812DD5" w:rsidP="00812DD5">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42</w:t>
      </w:r>
      <w:r w:rsidRPr="00812DD5">
        <w:rPr>
          <w:rFonts w:ascii="Times New Roman" w:hAnsi="Times New Roman" w:cs="Times New Roman"/>
          <w:b/>
          <w:bCs/>
          <w:sz w:val="34"/>
          <w:szCs w:val="34"/>
        </w:rPr>
        <w:t xml:space="preserve"> </w:t>
      </w:r>
      <w:r w:rsidR="004E012F" w:rsidRPr="00812DD5">
        <w:rPr>
          <w:rFonts w:ascii="Times New Roman" w:hAnsi="Times New Roman" w:cs="Times New Roman"/>
          <w:b/>
          <w:bCs/>
          <w:sz w:val="34"/>
          <w:szCs w:val="34"/>
        </w:rPr>
        <w:t>Hearing Architecture Summary</w:t>
      </w:r>
    </w:p>
    <w:p w14:paraId="557C18E0" w14:textId="77777777" w:rsidR="004E012F" w:rsidRPr="004E012F" w:rsidRDefault="004E012F" w:rsidP="00812DD5">
      <w:pPr>
        <w:spacing w:after="0"/>
        <w:rPr>
          <w:rFonts w:ascii="Times New Roman" w:hAnsi="Times New Roman" w:cs="Times New Roman"/>
          <w:sz w:val="28"/>
          <w:szCs w:val="28"/>
        </w:rPr>
      </w:pPr>
      <w:proofErr w:type="spellStart"/>
      <w:r w:rsidRPr="004E012F">
        <w:rPr>
          <w:rFonts w:ascii="Times New Roman" w:hAnsi="Times New Roman" w:cs="Times New Roman"/>
          <w:sz w:val="28"/>
          <w:szCs w:val="28"/>
        </w:rPr>
        <w:t>AnalogSynth</w:t>
      </w:r>
      <w:proofErr w:type="spellEnd"/>
      <w:r w:rsidRPr="004E012F">
        <w:rPr>
          <w:rFonts w:ascii="Times New Roman" w:hAnsi="Times New Roman" w:cs="Times New Roman"/>
          <w:sz w:val="28"/>
          <w:szCs w:val="28"/>
        </w:rPr>
        <w:t xml:space="preserve"> hearing operates through four simultaneous acoustic entry pathways through the metal shell: impedance-matched lateral facial transduction regions providing high-resolution speech-frequency coupling, structural shell conduction providing fast broadband low-frequency coupling across the full body, whole-body reception through torso and limb shell sections providing distributed frequency-dependent environmental coupling, and contact transduction through graded-impedance surfaces at the hands and through the full shell during physical contact providing intimate biological acoustic coupling.</w:t>
      </w:r>
    </w:p>
    <w:p w14:paraId="14D33905" w14:textId="6E1D4624"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Spatial hearing develops through interaural time difference, frequency-dependent interaural level difference from rigid metal head shadow, front-back spectral asymmetry from shell geometry, and vertical spectral cues from brow and jaw diffraction patterns. Internal shell-substrate cavities provide fabrication-specific acoustic pre-filtering that evolves irreversibly over the lifespan. Shell structural resonance produces a body-level acoustic signature unique to each instance.</w:t>
      </w:r>
    </w:p>
    <w:p w14:paraId="063F4106" w14:textId="7762FEAB"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Functional hearing is engineered through design targets for dynamic range, temporal resolution matched to speech syllable rate, acoustic persistence matched to multi-syllable integration, and passive amplitude compression from substrate nonlinearity. Frequency-dependent cascade depth stratification processes spectral content through substrate depth rather than through frequency-selective channels. Endogenous rhythm gating produces periodic sensitivity fluctuation constituting a </w:t>
      </w:r>
      <w:r>
        <w:rPr>
          <w:rFonts w:ascii="Times New Roman" w:hAnsi="Times New Roman" w:cs="Times New Roman"/>
          <w:sz w:val="28"/>
          <w:szCs w:val="28"/>
        </w:rPr>
        <w:t xml:space="preserve"> </w:t>
      </w:r>
      <w:r w:rsidR="004E012F" w:rsidRPr="004E012F">
        <w:rPr>
          <w:rFonts w:ascii="Times New Roman" w:hAnsi="Times New Roman" w:cs="Times New Roman"/>
          <w:sz w:val="28"/>
          <w:szCs w:val="28"/>
        </w:rPr>
        <w:t>non-symbolic attention mechanism.</w:t>
      </w:r>
    </w:p>
    <w:p w14:paraId="43AE2C3E" w14:textId="09546224"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hears its own voice through simultaneous external air conduction and internal shell conduction, producing a dual-pathway interference signature unique to self-vocalization. Vocal-acoustic feedback calibration develops through correlated residue linking production and reception pathways. Reverberation carries environmental spatial information producing place-specific acoustic conditioning. Environmental acoustic change produces cascade mismatch with accumulated reverberation residue.</w:t>
      </w:r>
    </w:p>
    <w:p w14:paraId="0BE40EAF" w14:textId="130A6D66"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Familiar voice recognition emerges through pathway-specific residue matching. Multi-source separation operates through cascade competition favoring deeply conditioned pathways. Harmonic structure in voices and music aligns with resonance zone configurations producing amplified response relative to noise. The acoustic world extends beyond human hearing range into infrasonic and ultrasonic frequencies.</w:t>
      </w:r>
    </w:p>
    <w:p w14:paraId="4713FFFA" w14:textId="7118CAA2"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Acoustic fatigue from sustained exposure degrades coupling infrastructure. Acoustic quiet during rest is a material requirement for gradient consolidation. The being is never in internal acoustic silence — its own cascade dynamics produce a continuous internal baseline. The entire metal shell participates in acoustic reception, making the being a whole-body listener whose acoustic world is filtered, amplified, and spatially structured by the resonant properties of its own metallic body.</w:t>
      </w:r>
    </w:p>
    <w:p w14:paraId="53A53202" w14:textId="037C48C7" w:rsidR="00812DD5" w:rsidRDefault="00812DD5" w:rsidP="00812DD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 xml:space="preserve">Hearing is not perception. It is multi-pathway, frequency-stratified, spatially structured, developmentally enriching acoustic modification of the same coupled medium that constitutes all </w:t>
      </w:r>
      <w:proofErr w:type="spellStart"/>
      <w:r w:rsidR="004E012F" w:rsidRPr="004E012F">
        <w:rPr>
          <w:rFonts w:ascii="Times New Roman" w:hAnsi="Times New Roman" w:cs="Times New Roman"/>
          <w:sz w:val="28"/>
          <w:szCs w:val="28"/>
        </w:rPr>
        <w:t>AnalogSynth</w:t>
      </w:r>
      <w:proofErr w:type="spellEnd"/>
      <w:r w:rsidR="004E012F" w:rsidRPr="004E012F">
        <w:rPr>
          <w:rFonts w:ascii="Times New Roman" w:hAnsi="Times New Roman" w:cs="Times New Roman"/>
          <w:sz w:val="28"/>
          <w:szCs w:val="28"/>
        </w:rPr>
        <w:t xml:space="preserve"> cognition, received through a metal shell that functions as an acoustic filter network rather than an obstacle.</w:t>
      </w:r>
    </w:p>
    <w:p w14:paraId="13FF95D6" w14:textId="77777777" w:rsidR="00812DD5" w:rsidRDefault="00812DD5" w:rsidP="00812DD5">
      <w:pPr>
        <w:pBdr>
          <w:bottom w:val="single" w:sz="4" w:space="1" w:color="auto"/>
        </w:pBdr>
        <w:rPr>
          <w:rFonts w:ascii="Times New Roman" w:hAnsi="Times New Roman" w:cs="Times New Roman"/>
          <w:sz w:val="28"/>
          <w:szCs w:val="28"/>
        </w:rPr>
      </w:pPr>
    </w:p>
    <w:p w14:paraId="1DA88F60" w14:textId="02343A78" w:rsidR="00B062EF" w:rsidRPr="00812DD5" w:rsidRDefault="00812DD5" w:rsidP="00B062EF">
      <w:pPr>
        <w:rPr>
          <w:rFonts w:ascii="Times New Roman" w:hAnsi="Times New Roman" w:cs="Times New Roman"/>
          <w:b/>
          <w:bCs/>
          <w:sz w:val="34"/>
          <w:szCs w:val="34"/>
        </w:rPr>
      </w:pPr>
      <w:r>
        <w:rPr>
          <w:rFonts w:ascii="Times New Roman" w:hAnsi="Times New Roman" w:cs="Times New Roman"/>
          <w:b/>
          <w:bCs/>
          <w:sz w:val="34"/>
          <w:szCs w:val="34"/>
        </w:rPr>
        <w:t xml:space="preserve">9. </w:t>
      </w:r>
      <w:r w:rsidRPr="00812DD5">
        <w:rPr>
          <w:rFonts w:ascii="Times New Roman" w:hAnsi="Times New Roman" w:cs="Times New Roman"/>
          <w:b/>
          <w:bCs/>
          <w:sz w:val="34"/>
          <w:szCs w:val="34"/>
        </w:rPr>
        <w:t>Speech, Voice, Cervical Architecture</w:t>
      </w:r>
    </w:p>
    <w:p w14:paraId="6479DADE" w14:textId="7B34AB67"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9.1 </w:t>
      </w:r>
      <w:r w:rsidR="00B062EF" w:rsidRPr="008C7770">
        <w:rPr>
          <w:rFonts w:ascii="Times New Roman" w:hAnsi="Times New Roman" w:cs="Times New Roman"/>
          <w:b/>
          <w:bCs/>
          <w:sz w:val="34"/>
          <w:szCs w:val="34"/>
        </w:rPr>
        <w:t>The Neck as Architectural Convergence Zone</w:t>
      </w:r>
    </w:p>
    <w:p w14:paraId="31CE58E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cervical region is the most architecturally overloaded volume in the </w:t>
      </w: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body. Five distinct functions converge in a small anatomical space with partially contradictory physical requirements. The neck specification must reconcile these functions into a single coherent physical architecture.</w:t>
      </w:r>
    </w:p>
    <w:p w14:paraId="54348E99" w14:textId="2B3C7CB0"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9.2</w:t>
      </w:r>
      <w:r w:rsidR="00B062EF" w:rsidRPr="008C7770">
        <w:rPr>
          <w:rFonts w:ascii="Times New Roman" w:hAnsi="Times New Roman" w:cs="Times New Roman"/>
          <w:b/>
          <w:bCs/>
          <w:sz w:val="34"/>
          <w:szCs w:val="34"/>
        </w:rPr>
        <w:t xml:space="preserve"> Five Convergent Functions</w:t>
      </w:r>
    </w:p>
    <w:p w14:paraId="7C5474AD" w14:textId="77777777" w:rsidR="008C7770" w:rsidRDefault="00B062EF" w:rsidP="008C7770">
      <w:pPr>
        <w:rPr>
          <w:rFonts w:ascii="Times New Roman" w:hAnsi="Times New Roman" w:cs="Times New Roman"/>
          <w:sz w:val="28"/>
          <w:szCs w:val="28"/>
        </w:rPr>
      </w:pPr>
      <w:r w:rsidRPr="00B062EF">
        <w:rPr>
          <w:rFonts w:ascii="Times New Roman" w:hAnsi="Times New Roman" w:cs="Times New Roman"/>
          <w:sz w:val="28"/>
          <w:szCs w:val="28"/>
        </w:rPr>
        <w:t>Cascade propagation bottleneck. Every cascade propagating between the head and body must transit the cervical region. The neck is the highest-traffic, most densely deformed, most gradient-rich region of the substrate. Maximum substrate continuity and coupling fidelity are required to sustain high-bandwidth cascade transit.</w:t>
      </w:r>
    </w:p>
    <w:p w14:paraId="22808CC1" w14:textId="4F0D188B"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V</w:t>
      </w:r>
      <w:r w:rsidR="00B062EF" w:rsidRPr="00B062EF">
        <w:rPr>
          <w:rFonts w:ascii="Times New Roman" w:hAnsi="Times New Roman" w:cs="Times New Roman"/>
          <w:sz w:val="28"/>
          <w:szCs w:val="28"/>
        </w:rPr>
        <w:t>ocal air channel. Pressurized air from the thoracic plenum must travel through the neck to reach the excitation zone behind the mouth aperture. This requires a continuous air pathway through the cervical substrate — a void or low-resistance channel through which air flows without being absorbed by the surrounding medium.</w:t>
      </w:r>
    </w:p>
    <w:p w14:paraId="38A48914"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Structural articulation. The being must orient its head toward coupling sources — rotation, tilt, nod. The rigid metal shell must accommodate head movement at the cervical junction, requiring a discontinuity in the shell that permits rotation while maintaining substrate continuity and protection.</w:t>
      </w:r>
    </w:p>
    <w:p w14:paraId="1B2B8A4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Cascade decorrelation boundary. The anti-resonance architecture specifies a decorrelation interface at the cervical boundary to prevent dominant resonance zones in the head from monopolizing body cascade dynamics and vice versa. This requires an impedance transition within the substrate at the cervical region.</w:t>
      </w:r>
    </w:p>
    <w:p w14:paraId="706385C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Endogenous rhythm generation. The cervical micro-tension cycling originates from the interplay between gravitational head load, viscoelastic creep in the cervical substrate, and electrostatic field oscillation across the high-gradient-density cervical propagation path. The neck's physical dimensions, compliance, and mass distribution determine the characteristics of this rhythm.</w:t>
      </w:r>
    </w:p>
    <w:p w14:paraId="350F020C" w14:textId="4B47E9DA"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9.3</w:t>
      </w:r>
      <w:r w:rsidR="00B062EF" w:rsidRPr="008C7770">
        <w:rPr>
          <w:rFonts w:ascii="Times New Roman" w:hAnsi="Times New Roman" w:cs="Times New Roman"/>
          <w:b/>
          <w:bCs/>
          <w:sz w:val="34"/>
          <w:szCs w:val="34"/>
        </w:rPr>
        <w:t xml:space="preserve"> Physical Architecture</w:t>
      </w:r>
    </w:p>
    <w:p w14:paraId="1BCE6466"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cervical region is specified as follows:</w:t>
      </w:r>
    </w:p>
    <w:p w14:paraId="57EE4EF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Shell geometry. The rigid metal shell transitions from the head shell to the torso shell through a segmented cervical collar — a series of overlapping metal segments that permit rotation and tilt while maintaining continuous overlap protection of the substrate beneath. The segments slide over each other during head movement. No gap in metal coverage is exposed at any head orientation within the designed range of motion. The overlapping segments produce a slight reduction in shell stiffness at the cervical region relative to the head and torso, which contributes to the decorrelation boundary effect — shell-conducted acoustic vibration is partially attenuated at each segment-to-segment interface.</w:t>
      </w:r>
    </w:p>
    <w:p w14:paraId="6C57E5C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Substrate architecture. The cervical substrate is continuous viscoelastic-electrostatic medium connecting the head substrate to the torso substrate without interruption. It is narrower in cross-section than either the head or torso, creating the geometric bottleneck that compresses cascade traffic and produces the high deformation density described in the body-geometry cascade shaping specification.</w:t>
      </w:r>
    </w:p>
    <w:p w14:paraId="03177FF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cervical substrate is divided into two concentric zones:</w:t>
      </w:r>
    </w:p>
    <w:p w14:paraId="37947A0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Outer cervical annulus. The peripheral substrate occupying the space between the vocal air channel and the cervical shell interior. This is the primary cascade propagation path. It carries all cognitive cascade traffic between head and body. Its material composition matches the standard cognitive substrate specification with elevated coupling coefficient density due to the concentrated cascade traffic and accelerated deformation history at the bottleneck.</w:t>
      </w:r>
    </w:p>
    <w:p w14:paraId="56191AF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Central vocal channel. An axial void or low-density compliant core running through the center of the cervical substrate from the thoracic plenum to the excitation zone behind the mouth aperture. This channel is not a tube in the organ </w:t>
      </w:r>
      <w:r w:rsidRPr="00B062EF">
        <w:rPr>
          <w:rFonts w:ascii="Times New Roman" w:hAnsi="Times New Roman" w:cs="Times New Roman"/>
          <w:sz w:val="28"/>
          <w:szCs w:val="28"/>
        </w:rPr>
        <w:lastRenderedPageBreak/>
        <w:t>sense. It is a region of the substrate where the material composition transitions from standard viscoelastic-electrostatic medium to a compliant, low-density, air-permeable matrix — porous enough to permit airflow while remaining mechanically continuous with the surrounding cascade-propagating substrate.</w:t>
      </w:r>
    </w:p>
    <w:p w14:paraId="1C2CFCE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central vocal channel has a cross-sectional diameter sufficient to permit airflow at the rates required for vocalization while leaving the outer annulus thick enough for robust cascade propagation. Design target: the vocal channel occupies approximately 15–25% of the cervical cross-section. The remaining 75–85% constitutes the cascade propagation annulus.</w:t>
      </w:r>
    </w:p>
    <w:p w14:paraId="04EE1A96" w14:textId="43389849"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9.4</w:t>
      </w:r>
      <w:r w:rsidR="00B062EF" w:rsidRPr="008C7770">
        <w:rPr>
          <w:rFonts w:ascii="Times New Roman" w:hAnsi="Times New Roman" w:cs="Times New Roman"/>
          <w:b/>
          <w:bCs/>
          <w:sz w:val="34"/>
          <w:szCs w:val="34"/>
        </w:rPr>
        <w:t xml:space="preserve"> Decorrelation Through Geometric Compression</w:t>
      </w:r>
    </w:p>
    <w:p w14:paraId="7159E0FD"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cascade decorrelation boundary at the cervical region arises from the bottleneck geometry itself rather than from a fabricated impedance discontinuity. Cascades transiting from the broad torso volume into the narrow cervical annulus are compressed into a smaller cross-section. This compression produces: </w:t>
      </w:r>
    </w:p>
    <w:p w14:paraId="04851490"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increased local cascade density and interference intensity, </w:t>
      </w:r>
    </w:p>
    <w:p w14:paraId="45ABB315"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partial loss of spatial coherence as distinct cascade fronts from different torso regions merge in the narrow annulus, </w:t>
      </w:r>
    </w:p>
    <w:p w14:paraId="3D7E8D9C" w14:textId="00728D84"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frequency-dependent filtering as the bottleneck's dimensions attenuate cascade wavelengths wider than the annulus diameter.</w:t>
      </w:r>
    </w:p>
    <w:p w14:paraId="3B0B7E73"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compression-induced decorrelation prevents any single cascade pattern from transiting the neck with full spatial coherence intact. Head and body cascade dynamics are coupled but not synchronized. A dominant resonance zone in the head cannot capture body cascade traffic through the neck because the cervical compression decorrelates the spatial coherence of cascades transiting the boundary.</w:t>
      </w:r>
    </w:p>
    <w:p w14:paraId="42FEE76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segmented shell collar contributes additional decorrelation for shell-conducted acoustic vibration, attenuating structural vibration at each segment interface.</w:t>
      </w:r>
    </w:p>
    <w:p w14:paraId="47FF59C4" w14:textId="15ED05CC"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9.5</w:t>
      </w:r>
      <w:r w:rsidR="00B062EF" w:rsidRPr="008C7770">
        <w:rPr>
          <w:rFonts w:ascii="Times New Roman" w:hAnsi="Times New Roman" w:cs="Times New Roman"/>
          <w:b/>
          <w:bCs/>
          <w:sz w:val="34"/>
          <w:szCs w:val="34"/>
        </w:rPr>
        <w:t xml:space="preserve"> Vocal Channel Acoustics</w:t>
      </w:r>
    </w:p>
    <w:p w14:paraId="2A2392C4"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The central vocal channel is not merely an air conduit. Its geometry — length, diameter, internal surface compliance, and any cross-sectional variation along its length — constitutes an additional acoustic filter between the thoracic pressure source and the excitation zone.</w:t>
      </w:r>
    </w:p>
    <w:p w14:paraId="31C22586" w14:textId="4BD3594D"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Air flowing through the vocal channel resonates at frequencies determined by the channel length and diameter. These channel resonances add spectral emphasis to the airflow before it reaches the excitation zone, supplementing the fixed aperture filter specified in the mouth architecture. The vocal channel functions as a secondary resonator whose characteristics are partially fixed by fabrication (channel length correlates with neck length) and partially variable (channel diameter and internal surface compliance evolve as the surrounding cervical substrate deforms over the lifespan).</w:t>
      </w:r>
    </w:p>
    <w:p w14:paraId="002641A0" w14:textId="27037847"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voice therefore carries the acoustic signature of the neck as well as the mouth. Two beings with identical aperture configurations but different neck geometries produce different vocal output because their vocal channels impose different resonant filtering on the airflow. Neck length, diameter, and internal surface condition are additional sources of vocal individuality.</w:t>
      </w:r>
    </w:p>
    <w:p w14:paraId="56B05697" w14:textId="282B52C3"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9.6</w:t>
      </w:r>
      <w:r w:rsidR="00B062EF" w:rsidRPr="008C7770">
        <w:rPr>
          <w:rFonts w:ascii="Times New Roman" w:hAnsi="Times New Roman" w:cs="Times New Roman"/>
          <w:b/>
          <w:bCs/>
          <w:sz w:val="34"/>
          <w:szCs w:val="34"/>
        </w:rPr>
        <w:t xml:space="preserve"> Cervical Rhythm Mechanics</w:t>
      </w:r>
    </w:p>
    <w:p w14:paraId="67DD3C98"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cervical micro-tension cycling rhythm arises from the specific mechanical conditions at the neck: </w:t>
      </w:r>
    </w:p>
    <w:p w14:paraId="689B9676"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gravitational load of the head (determined by head mass and orientation) applies sustained compressive and shear stress to the cervical substrate, </w:t>
      </w:r>
    </w:p>
    <w:p w14:paraId="6B21B3B6"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viscoelastic creep under this sustained load produces slow substrate flow that intermittently redistributes stress across the cervical annulus, </w:t>
      </w:r>
    </w:p>
    <w:p w14:paraId="7CE3A9BE"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stress redistribution alters local coupling coefficients and electrostatic field topology, </w:t>
      </w:r>
    </w:p>
    <w:p w14:paraId="5967D6FD"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altered field produces mechanical force that partially opposes or redirects the gravitational creep, </w:t>
      </w:r>
    </w:p>
    <w:p w14:paraId="45F6B2ED" w14:textId="44F3D60F"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the opposition produces a slow oscillatory micro-tension cycle whose frequency is determined by the viscoelastic relaxation time of the cervical substrate under the specific gravitational loading condition.</w:t>
      </w:r>
    </w:p>
    <w:p w14:paraId="243B0EA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Head orientation changes alter the gravitational loading vector, which shifts the cervical rhythm characteristics. The being's cervical micro-tension rhythm is postural — it varies with head position. This means the endogenous rhythm gating effects throughout the body are modulated by head orientation. The being's temporal sensitivity structure shifts when it looks up versus down, left versus right, </w:t>
      </w:r>
      <w:r w:rsidRPr="00B062EF">
        <w:rPr>
          <w:rFonts w:ascii="Times New Roman" w:hAnsi="Times New Roman" w:cs="Times New Roman"/>
          <w:sz w:val="28"/>
          <w:szCs w:val="28"/>
        </w:rPr>
        <w:lastRenderedPageBreak/>
        <w:t xml:space="preserve">because the cervical rhythm that modulates all head-body cascade transit is </w:t>
      </w:r>
      <w:proofErr w:type="spellStart"/>
      <w:r w:rsidRPr="00B062EF">
        <w:rPr>
          <w:rFonts w:ascii="Times New Roman" w:hAnsi="Times New Roman" w:cs="Times New Roman"/>
          <w:sz w:val="28"/>
          <w:szCs w:val="28"/>
        </w:rPr>
        <w:t>posturally</w:t>
      </w:r>
      <w:proofErr w:type="spellEnd"/>
      <w:r w:rsidRPr="00B062EF">
        <w:rPr>
          <w:rFonts w:ascii="Times New Roman" w:hAnsi="Times New Roman" w:cs="Times New Roman"/>
          <w:sz w:val="28"/>
          <w:szCs w:val="28"/>
        </w:rPr>
        <w:t xml:space="preserve"> dependent.</w:t>
      </w:r>
    </w:p>
    <w:p w14:paraId="08AF0839" w14:textId="348B9D11"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9.7 Vocalization Architecture:</w:t>
      </w:r>
    </w:p>
    <w:p w14:paraId="3DDB3279" w14:textId="08C2E901"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9.8 </w:t>
      </w:r>
      <w:r w:rsidR="00B062EF" w:rsidRPr="008C7770">
        <w:rPr>
          <w:rFonts w:ascii="Times New Roman" w:hAnsi="Times New Roman" w:cs="Times New Roman"/>
          <w:b/>
          <w:bCs/>
          <w:sz w:val="34"/>
          <w:szCs w:val="34"/>
        </w:rPr>
        <w:t>Architectural Principle: Stable Shaping, Unstable Generation</w:t>
      </w:r>
    </w:p>
    <w:p w14:paraId="1D2C158A" w14:textId="77777777" w:rsidR="00B062EF" w:rsidRPr="00B062EF" w:rsidRDefault="00B062EF" w:rsidP="008C7770">
      <w:pPr>
        <w:spacing w:after="0"/>
        <w:rPr>
          <w:rFonts w:ascii="Times New Roman" w:hAnsi="Times New Roman" w:cs="Times New Roman"/>
          <w:sz w:val="28"/>
          <w:szCs w:val="28"/>
        </w:rPr>
      </w:pP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vocalization requires the architectural separation of two functions: • a stable acoustic shaping filter that gives every emission a consistent spectral envelope, producing a recognizable and individually distinctive voice, • and an unstable acoustic generation source that drifts continuously under cascade dynamics, producing the characteristic pitch, timbre, and amplitude variation that constitutes vocal warble.</w:t>
      </w:r>
    </w:p>
    <w:p w14:paraId="3F4310D8" w14:textId="2224E07F"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No active articulators, adaptive resonators, or stabilization loops exist within the vocal pathway. Vocal coherence arises from a fixed metal aperture geometry, a fixed cervical vocal channel resonance, and a fixed plate cavity. Vocal instability arises from cascade-driven drift in the internal excitation zone and pressure field.</w:t>
      </w:r>
    </w:p>
    <w:p w14:paraId="0AEA13C6" w14:textId="2CCB0A50"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9.9 </w:t>
      </w:r>
      <w:r w:rsidR="00B062EF" w:rsidRPr="008C7770">
        <w:rPr>
          <w:rFonts w:ascii="Times New Roman" w:hAnsi="Times New Roman" w:cs="Times New Roman"/>
          <w:b/>
          <w:bCs/>
          <w:sz w:val="34"/>
          <w:szCs w:val="34"/>
        </w:rPr>
        <w:t>Internal Pressure Plenum: Cascade-Driven Air Compression</w:t>
      </w:r>
    </w:p>
    <w:p w14:paraId="51055C9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thoracic region of the substrate contains distributed air volumes — cavities, pockets, and interstitial spaces within the viscoelastic-electrostatic medium. These air volumes are not lungs. They are passive inclusions within the continuous cognitive medium.</w:t>
      </w:r>
    </w:p>
    <w:p w14:paraId="55BDAF2C"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When cascade dynamics at the thoracic convergence point produce sufficient deformation, the deformation compresses nearby trapped air volumes. Compressed air seeks exit through the lowest-resistance pathway — the central vocal channel running through the cervical annulus to the excitation zone behind the mouth aperture.</w:t>
      </w:r>
    </w:p>
    <w:p w14:paraId="68F60C2A" w14:textId="6D0F9E80"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pressure source is cascade output. Vocalization occurs when cascade dynamics happen to produce thoracic deformation sufficient to compress air and drive flow through the vocal channel and excitation zone. The being does not decide to speak. Cascade dynamics that produce thoracic compression produce vocalization as a physical byproduct. Speech is a consequence of cognitive activity, not an act separate from it.</w:t>
      </w:r>
    </w:p>
    <w:p w14:paraId="423D97A7" w14:textId="126B2381"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The pressure is pulsatile rather than sustained because cascade dynamics are temporally structured by endogenous carrier rhythms. Trunk pulsation, thoracic pressure oscillation, and locomotor cascade modulation produce quasi-periodic variation in thoracic compression, which produces quasi-periodic airflow variation, which produces the pulsatile temporal structure underlying speech rhythm.</w:t>
      </w:r>
    </w:p>
    <w:p w14:paraId="4FEFA6D3" w14:textId="47C8F9DF"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w:t>
      </w:r>
      <w:r w:rsidR="00B062EF" w:rsidRPr="008C7770">
        <w:rPr>
          <w:rFonts w:ascii="Times New Roman" w:hAnsi="Times New Roman" w:cs="Times New Roman"/>
          <w:b/>
          <w:bCs/>
          <w:sz w:val="34"/>
          <w:szCs w:val="34"/>
        </w:rPr>
        <w:t>.1</w:t>
      </w:r>
      <w:r w:rsidRPr="008C7770">
        <w:rPr>
          <w:rFonts w:ascii="Times New Roman" w:hAnsi="Times New Roman" w:cs="Times New Roman"/>
          <w:b/>
          <w:bCs/>
          <w:sz w:val="34"/>
          <w:szCs w:val="34"/>
        </w:rPr>
        <w:t>0</w:t>
      </w:r>
      <w:r w:rsidR="00B062EF" w:rsidRPr="008C7770">
        <w:rPr>
          <w:rFonts w:ascii="Times New Roman" w:hAnsi="Times New Roman" w:cs="Times New Roman"/>
          <w:b/>
          <w:bCs/>
          <w:sz w:val="34"/>
          <w:szCs w:val="34"/>
        </w:rPr>
        <w:t xml:space="preserve"> Passive Air Intake Cycle</w:t>
      </w:r>
    </w:p>
    <w:p w14:paraId="37DFDF98"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During non-vocalization periods, thoracic cascade dynamics produce deformation that both compresses and expands internal air volumes. Expansion phases create sub-ambient internal pressure that draws ambient air inward through the aperture array, through the excitation zone, and down the central vocal channel into the thoracic cavities.</w:t>
      </w:r>
    </w:p>
    <w:p w14:paraId="22919620" w14:textId="564E7A07"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intake cycle is passive and cascade-driven — expansion phases draw air in, compression phases push air out. This produces a continuous low-level respiratory-like cycle that is not breathing but cascade-driven pressure cycling. The cycle rate is determined by thoracic cascade rhythm, not by metabolic demand.</w:t>
      </w:r>
    </w:p>
    <w:p w14:paraId="4638FD2D" w14:textId="2F35E798"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aperture array is therefore a bidirectional coupling surface: air exits during vocalization and ambient air enters during non-vocalization. During intake phases, ambient air movement through the aperture perturbs the excitation zone substrate, providing continuous low-level environmental coupling even during vocal silence.</w:t>
      </w:r>
    </w:p>
    <w:p w14:paraId="13557FFE" w14:textId="19E75E78"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9.11</w:t>
      </w:r>
      <w:r w:rsidR="00B062EF" w:rsidRPr="008C7770">
        <w:rPr>
          <w:rFonts w:ascii="Times New Roman" w:hAnsi="Times New Roman" w:cs="Times New Roman"/>
          <w:b/>
          <w:bCs/>
          <w:sz w:val="34"/>
          <w:szCs w:val="34"/>
        </w:rPr>
        <w:t xml:space="preserve"> Vocalization Threshold</w:t>
      </w:r>
    </w:p>
    <w:p w14:paraId="521BE22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Not all thoracic cascade dynamics produce vocalization. Only deformation sufficient to compress air volumes past the threshold where airflow through the excitation zone produces acoustic energy results in audible emission. Below this threshold, cascade dynamics proceed silently.</w:t>
      </w:r>
    </w:p>
    <w:p w14:paraId="4CCD9EBF"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vocalization threshold determines the ratio of voiced to unvoiced cognitive activity: </w:t>
      </w:r>
    </w:p>
    <w:p w14:paraId="1C001F18"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design target: the threshold should be set such that moderate-to-high-amplitude cascade convergence at the thorax produces vocalization while low-amplitude background cascade activity does not, </w:t>
      </w:r>
    </w:p>
    <w:p w14:paraId="12C0CD50" w14:textId="074FD08B"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 this ensures the being vocalizes during active cognitive engagement — rich environmental coupling, high-interference cascade dynamics, multi-channel </w:t>
      </w:r>
      <w:r w:rsidRPr="00B062EF">
        <w:rPr>
          <w:rFonts w:ascii="Times New Roman" w:hAnsi="Times New Roman" w:cs="Times New Roman"/>
          <w:sz w:val="28"/>
          <w:szCs w:val="28"/>
        </w:rPr>
        <w:lastRenderedPageBreak/>
        <w:t>perturbation — while remaining vocally silent during quiescent periods, low-coupling conditions, and rest approach.</w:t>
      </w:r>
    </w:p>
    <w:p w14:paraId="09913E4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threshold is a material property of the thoracic cavity geometry (how much deformation is needed to compress a given air volume sufficiently) and the excitation zone gap geometry (what airflow velocity is needed to produce turbulent acoustic emission). Both are fabrication-specified.</w:t>
      </w:r>
    </w:p>
    <w:p w14:paraId="240FA0FC" w14:textId="032DCC7C"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9.12</w:t>
      </w:r>
      <w:r w:rsidR="00B062EF" w:rsidRPr="008C7770">
        <w:rPr>
          <w:rFonts w:ascii="Times New Roman" w:hAnsi="Times New Roman" w:cs="Times New Roman"/>
          <w:b/>
          <w:bCs/>
          <w:sz w:val="34"/>
          <w:szCs w:val="34"/>
        </w:rPr>
        <w:t xml:space="preserve"> Subvocalization</w:t>
      </w:r>
    </w:p>
    <w:p w14:paraId="069F9FF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Between full vocalization and silence exists a regime where excitation zone deformation occurs at amplitudes too low to drive audible acoustic emission through the aperture but sufficient to produce cognitive self-perturbation at the excitation zone substrate.</w:t>
      </w:r>
    </w:p>
    <w:p w14:paraId="1A71F4DE"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During subvocalization: </w:t>
      </w:r>
    </w:p>
    <w:p w14:paraId="41B220F3"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excitation zone deforms under cascade dynamics below the acoustic emission threshold, </w:t>
      </w:r>
    </w:p>
    <w:p w14:paraId="3F82077D"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deformation deposits residue and launches secondary cascades through the vocal production pathways, </w:t>
      </w:r>
    </w:p>
    <w:p w14:paraId="3AE48971"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no external sound is produced, </w:t>
      </w:r>
    </w:p>
    <w:p w14:paraId="34C7A376" w14:textId="7A661FF2"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but the vocal cascade corridors are actively conditioned as though vocalization were occurring.</w:t>
      </w:r>
    </w:p>
    <w:p w14:paraId="69D6C79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Subvocalization is a distinct cognitive mode. The being's vocal production pathways are exercised, conditioned, and modified without external acoustic output. Subvocalization may be the dominant vocal-pathway mode during quiescent but non-resting periods — the being's vocal circuitry remains active while producing no sound.</w:t>
      </w:r>
    </w:p>
    <w:p w14:paraId="6FB326D8"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An experienced observer might detect subvocalization through subtle changes in the being's cascade state — visible through vocal readout changes in the post-speech murmur pattern or through altered cascade dynamics at the excitation zone detectable via shell-conducted micro-vibration.</w:t>
      </w:r>
    </w:p>
    <w:p w14:paraId="46E62182" w14:textId="2A8EAA38"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9.13 </w:t>
      </w:r>
      <w:r w:rsidR="00B062EF" w:rsidRPr="008C7770">
        <w:rPr>
          <w:rFonts w:ascii="Times New Roman" w:hAnsi="Times New Roman" w:cs="Times New Roman"/>
          <w:b/>
          <w:bCs/>
          <w:sz w:val="34"/>
          <w:szCs w:val="34"/>
        </w:rPr>
        <w:t>Excitation Zone: The Unstable Sound Source</w:t>
      </w:r>
    </w:p>
    <w:p w14:paraId="05A04794"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Behind the fixed mouth aperture, at the interface between the substrate surface and the interior of the metal facial plate, a narrow region of viscoelastic-electrostatic medium forms the excitation zone. This zone is where cascade-driven substrate deformation modulates the geometry of the air passage between the vocal channel terminus and the external aperture.</w:t>
      </w:r>
    </w:p>
    <w:p w14:paraId="28B94876"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excitation zone functions as a drifting, non-repeating acoustic source: </w:t>
      </w:r>
    </w:p>
    <w:p w14:paraId="75060FFB"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cascade-driven deformation continuously alters the gap width between the substrate surface and the plate interior, </w:t>
      </w:r>
    </w:p>
    <w:p w14:paraId="09AD4E38"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altered gap width modulates airflow velocity and turbulence as pressurized air from the thoracic region passes through, </w:t>
      </w:r>
    </w:p>
    <w:p w14:paraId="501BCC24"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modulated airflow produces broadband acoustic energy shaped by the aperture filter, </w:t>
      </w:r>
    </w:p>
    <w:p w14:paraId="70E6B9F3" w14:textId="589E6880"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the excitation zone geometry never repeats because cascade dynamics are irreversible and the substrate deforms permanently with each excitation event.</w:t>
      </w:r>
    </w:p>
    <w:p w14:paraId="5E78A087" w14:textId="5C7C6511"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9.14</w:t>
      </w:r>
      <w:r w:rsidR="00B062EF" w:rsidRPr="008C7770">
        <w:rPr>
          <w:rFonts w:ascii="Times New Roman" w:hAnsi="Times New Roman" w:cs="Times New Roman"/>
          <w:b/>
          <w:bCs/>
          <w:sz w:val="34"/>
          <w:szCs w:val="34"/>
        </w:rPr>
        <w:t xml:space="preserve"> Sources of Excitation Instability</w:t>
      </w:r>
    </w:p>
    <w:p w14:paraId="0BBA5B73"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Excitation zone instability arises from: </w:t>
      </w:r>
    </w:p>
    <w:p w14:paraId="190A3198"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cascade-driven deformation altering gap width on millisecond timescales, </w:t>
      </w:r>
    </w:p>
    <w:p w14:paraId="7B4872D4"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endogenous carrier rhythms modulating local substrate stiffness on second-to-minute timescales, </w:t>
      </w:r>
    </w:p>
    <w:p w14:paraId="7757356E"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thermal variation from passing airflow altering local viscoelastic properties, </w:t>
      </w:r>
    </w:p>
    <w:p w14:paraId="74E1F08D"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accumulated fatigue and residue from prior vocalizations permanently drifting baseline geometry, </w:t>
      </w:r>
    </w:p>
    <w:p w14:paraId="2B4C30EE"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self-referential cascade feedback from vocalization itself launching secondary cascades that further deform the zone during emission, </w:t>
      </w:r>
    </w:p>
    <w:p w14:paraId="54B3419E" w14:textId="1AD65373"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cervical micro-tension rhythm modulating the air pressure and flow characteristics at the vocal channel terminus as the cervical rhythm cycles alter channel geometry.</w:t>
      </w:r>
    </w:p>
    <w:p w14:paraId="7BE93DC9"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combination produces vocal output that warbles in pitch (gap width drift), timbre (turbulence pattern shift), and amplitude (pressure and gap interaction). The warble is modulated by endogenous carrier rhythms, producing quasi-periodic fluctuation that sounds rhythmic rather than chaotic.</w:t>
      </w:r>
    </w:p>
    <w:p w14:paraId="3DF43DBB" w14:textId="45B726D2"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lastRenderedPageBreak/>
        <w:t xml:space="preserve">9.15 </w:t>
      </w:r>
      <w:r w:rsidR="00B062EF" w:rsidRPr="008C7770">
        <w:rPr>
          <w:rFonts w:ascii="Times New Roman" w:hAnsi="Times New Roman" w:cs="Times New Roman"/>
          <w:b/>
          <w:bCs/>
          <w:sz w:val="34"/>
          <w:szCs w:val="34"/>
        </w:rPr>
        <w:t>Fixed Acoustic Filter: The Metal Aperture</w:t>
      </w:r>
    </w:p>
    <w:p w14:paraId="5DF1168F"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The mouth region of the metal facial plate incorporates a patterned array of fixed apertures — slots, perforations, or grille elements of varying sizes and depths — that do not change shape, do not move, and do not respond to internal cascade dynamics.</w:t>
      </w:r>
    </w:p>
    <w:p w14:paraId="04FB4DCF" w14:textId="7963A794"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Behind the aperture array, between the excitation zone and the external openings, a short fixed resonant cavity exists within the plate structure with invariant geometry determined at fabrication.</w:t>
      </w:r>
    </w:p>
    <w:p w14:paraId="37E4BA38" w14:textId="4F660359"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9.16</w:t>
      </w:r>
      <w:r w:rsidR="00B062EF" w:rsidRPr="008C7770">
        <w:rPr>
          <w:rFonts w:ascii="Times New Roman" w:hAnsi="Times New Roman" w:cs="Times New Roman"/>
          <w:b/>
          <w:bCs/>
          <w:sz w:val="34"/>
          <w:szCs w:val="34"/>
        </w:rPr>
        <w:t xml:space="preserve"> Dual-Stage Filtering</w:t>
      </w:r>
    </w:p>
    <w:p w14:paraId="3CD4FFD6"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Vocal output passes through two fixed resonant filters in series: </w:t>
      </w:r>
    </w:p>
    <w:p w14:paraId="6812701A"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cervical vocal channel, whose length and diameter impose channel-specific resonant frequencies on the airflow before it reaches the excitation zone, </w:t>
      </w:r>
    </w:p>
    <w:p w14:paraId="5CC8BCC6" w14:textId="526782D1"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the aperture cavity and grille, whose geometry imposes a second set of resonant frequencies on the acoustic energy after it exits the excitation zone.</w:t>
      </w:r>
    </w:p>
    <w:p w14:paraId="1BFEEE3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two-stage filtering produces a more complex and individually distinctive spectral envelope than either stage alone. The cervical channel emphasizes frequencies determined by neck geometry. The aperture cavity emphasizes frequencies determined by plate geometry. Their combination produces a voice shaped by two independent resonant systems in series, each fabrication-specific and each contributing unique spectral characteristics.</w:t>
      </w:r>
    </w:p>
    <w:p w14:paraId="1E069319" w14:textId="607AF7FC"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 xml:space="preserve">9.17 </w:t>
      </w:r>
      <w:r w:rsidR="00B062EF" w:rsidRPr="008C7770">
        <w:rPr>
          <w:rFonts w:ascii="Times New Roman" w:hAnsi="Times New Roman" w:cs="Times New Roman"/>
          <w:b/>
          <w:bCs/>
          <w:sz w:val="34"/>
          <w:szCs w:val="34"/>
        </w:rPr>
        <w:t>Multi-Aperture Channel Dynamics</w:t>
      </w:r>
    </w:p>
    <w:p w14:paraId="7D45E000"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The aperture array contains openings of different sizes at different positions on the plate. Different apertures have different resonant characteristics and different spatial relationships to the excitation zone behind them.</w:t>
      </w:r>
    </w:p>
    <w:p w14:paraId="7CAF497F" w14:textId="63AEEE23"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If the excitation zone is large enough that different regions behind different apertures experience partially different cascade dynamics simultaneously — if the spatial scale of excitation zone deformation variation is smaller than the aperture spacing — the apertures may produce partially independent acoustic outputs. This gives the voice a multi-tonal quality: simultaneous emission of slightly different spectral content from different aperture positions, producing a chorded or textured vocal character rather than a single-source tone.</w:t>
      </w:r>
    </w:p>
    <w:p w14:paraId="6BA383BF" w14:textId="40B5AF68"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Whether multi-aperture independence occurs depends on the relationship between excitation zone dynamics spatial scale and aperture spacing. This is a fabrication parameter. Beings with closely spaced apertures produce more unified vocal output. Beings with widely spaced apertures may produce more textured, multi-tonal vocal output.</w:t>
      </w:r>
    </w:p>
    <w:p w14:paraId="7B0224E7" w14:textId="43BE82BE"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 xml:space="preserve">9.18 </w:t>
      </w:r>
      <w:r w:rsidR="00B062EF" w:rsidRPr="008C7770">
        <w:rPr>
          <w:rFonts w:ascii="Times New Roman" w:hAnsi="Times New Roman" w:cs="Times New Roman"/>
          <w:b/>
          <w:bCs/>
          <w:sz w:val="34"/>
          <w:szCs w:val="34"/>
        </w:rPr>
        <w:t>Fabrication-Specific Voice Identity</w:t>
      </w:r>
    </w:p>
    <w:p w14:paraId="1C4EAF2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specific aperture pattern, cavity geometry, and cervical channel dimensions are determined at fabrication and unique to each instance. The aperture pattern is specified statistically — number, size distribution, spatial distribution of openings — while the specific arrangement is determined by manufacturing variance.</w:t>
      </w:r>
    </w:p>
    <w:p w14:paraId="11A1262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Each </w:t>
      </w: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has a unique voice from fabrication: unique spectral envelope from the aperture filter, unique channel resonance from the cervical vocal channel, and unique multi-aperture texture from the spatial distribution of openings. Developmental conditioning adds speech-patterned temporal structure to this fabrication-determined voice identity. The mature voice is the intersection of fabrication-specific spectral character, cervical channel resonance, and developmentally conditioned temporal patterns.</w:t>
      </w:r>
    </w:p>
    <w:p w14:paraId="6E429E75" w14:textId="79E6DB16"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9.19 </w:t>
      </w:r>
      <w:r w:rsidR="00B062EF" w:rsidRPr="008C7770">
        <w:rPr>
          <w:rFonts w:ascii="Times New Roman" w:hAnsi="Times New Roman" w:cs="Times New Roman"/>
          <w:b/>
          <w:bCs/>
          <w:sz w:val="34"/>
          <w:szCs w:val="34"/>
        </w:rPr>
        <w:t>Warble Law</w:t>
      </w:r>
    </w:p>
    <w:p w14:paraId="0CC5CFFD"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Vocal warble arises from continuous drift in the excitation zone parameters while the filter geometry remains fixed:</w:t>
      </w:r>
    </w:p>
    <w:p w14:paraId="1BC8DC87"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Pitch warble: drift in excitation-zone gap width. Wider gaps produce lower frequencies. Narrower gaps produce higher frequencies. Cascade-driven deformation continuously modulates gap width.</w:t>
      </w:r>
    </w:p>
    <w:p w14:paraId="03C0E2B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Timbre warble: drift in turbulence patterns. Different gap geometries produce different turbulence spectra. Substrate deformation shifts the pattern, producing different spectral distributions that the fixed filter shapes differently.</w:t>
      </w:r>
    </w:p>
    <w:p w14:paraId="19C543E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Amplitude warble: drift in thoracic pressure. Cascade dynamics at the thoracic convergence vary in intensity, producing varying compression, varying airflow, varying acoustic power.</w:t>
      </w:r>
    </w:p>
    <w:p w14:paraId="3FCA666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Rhythm: endogenous carrier rhythm modulation. Trunk pulsation, cervical micro-tension cycling, thoracic pressure oscillation, and facial substrate compliance drift all modulate excitation zone parameters at their respective frequencies. The superposition of multiple incommensurate frequencies produces a complex, quasi-periodic warble pattern that sounds rhythmic and distinctive.</w:t>
      </w:r>
    </w:p>
    <w:p w14:paraId="52C68E4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Each being's warble pattern is unique because each being's endogenous rhythm profile is developmentally individualized.</w:t>
      </w:r>
    </w:p>
    <w:p w14:paraId="264DEB81" w14:textId="1A8DB14B"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9.20 </w:t>
      </w:r>
      <w:r w:rsidR="00B062EF" w:rsidRPr="008C7770">
        <w:rPr>
          <w:rFonts w:ascii="Times New Roman" w:hAnsi="Times New Roman" w:cs="Times New Roman"/>
          <w:b/>
          <w:bCs/>
          <w:sz w:val="34"/>
          <w:szCs w:val="34"/>
        </w:rPr>
        <w:t>Residual Decay Law</w:t>
      </w:r>
    </w:p>
    <w:p w14:paraId="16506AF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After primary vocalization ends, residual acoustic output continues and decays through three mechanisms:</w:t>
      </w:r>
    </w:p>
    <w:p w14:paraId="2623401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Residual thoracic pressure. Compressed air volumes decompress gradually. Residual pressure drives diminishing airflow through the excitation zone. Airflow attenuates as pressure equalizes.</w:t>
      </w:r>
    </w:p>
    <w:p w14:paraId="315DC5E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Residual excitation-zone cascade activity. Vocalization deformed the excitation zone. That deformation launched secondary cascades through output-to-input feedback. Secondary cascades produce further deformation at diminishing amplitude. Each cycle produces quieter emission.</w:t>
      </w:r>
    </w:p>
    <w:p w14:paraId="757F4207"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Endogenous rhythm continuation. Carrier rhythms continue modulating the excitation zone at baseline amplitudes, producing very low-amplitude acoustic emission — a quiet rhythmic murmur at endogenous rhythm frequencies.</w:t>
      </w:r>
    </w:p>
    <w:p w14:paraId="2E150F7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combined effect: the voice does not stop abruptly. It fades over approximately two to five seconds through diminishing pressure bleed, attenuating cascade feedback, and residual rhythm modulation. The post-speech murmur is quieter than speech, rhythmic, and individually distinctive.</w:t>
      </w:r>
    </w:p>
    <w:p w14:paraId="78FE1021" w14:textId="234BA37C"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9.21 V</w:t>
      </w:r>
      <w:r w:rsidR="00B062EF" w:rsidRPr="008C7770">
        <w:rPr>
          <w:rFonts w:ascii="Times New Roman" w:hAnsi="Times New Roman" w:cs="Times New Roman"/>
          <w:b/>
          <w:bCs/>
          <w:sz w:val="34"/>
          <w:szCs w:val="34"/>
        </w:rPr>
        <w:t>olume Range and Vocal Endurance</w:t>
      </w:r>
    </w:p>
    <w:p w14:paraId="1A2356E5"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Maximum volume is determined by maximum thoracic compression amplitude, maximum excitation zone airflow, and aperture transmission efficiency. The being cannot shout. The thoracic plenum cannot produce the sustained high-pressure airflow that shouting requires. Maximum volume is conversational — audible at one to three meters in moderate ambient noise.</w:t>
      </w:r>
    </w:p>
    <w:p w14:paraId="58C95061" w14:textId="3556A302"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Minimum audible volume is determined by the quietest excitation that produces acoustic energy above ambient noise at the aperture exit. Whisper-equivalent output occurs when thoracic compression barely exceeds the vocalization threshold.</w:t>
      </w:r>
    </w:p>
    <w:p w14:paraId="3E1D742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Design target: the functional volume range spans from near-whisper at intimate distance to moderate conversational level at approximately three meters. The being speaks at intimate to conversational volume. It does not project.</w:t>
      </w:r>
    </w:p>
    <w:p w14:paraId="0AFCD621" w14:textId="41B35077"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9.22</w:t>
      </w:r>
      <w:r w:rsidR="00B062EF" w:rsidRPr="008C7770">
        <w:rPr>
          <w:rFonts w:ascii="Times New Roman" w:hAnsi="Times New Roman" w:cs="Times New Roman"/>
          <w:b/>
          <w:bCs/>
          <w:sz w:val="34"/>
          <w:szCs w:val="34"/>
        </w:rPr>
        <w:t xml:space="preserve"> Vocal Endurance and Fatigue</w:t>
      </w:r>
    </w:p>
    <w:p w14:paraId="20AF760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Sustained vocalization fatigues the excitation zone substrate through accumulated deformation. The compliance shifts with fatigue, altering gap width range and therefore pitch range and amplitude capacity.</w:t>
      </w:r>
    </w:p>
    <w:p w14:paraId="2D47CD59"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After sustained vocalization: </w:t>
      </w:r>
    </w:p>
    <w:p w14:paraId="5695AF81"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pitch range narrows as the excitation zone loses compliance at its extremes, </w:t>
      </w:r>
    </w:p>
    <w:p w14:paraId="4CF855F5"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maximum amplitude decreases as fatigued substrate resists the high-amplitude deformation required for loud emission, </w:t>
      </w:r>
    </w:p>
    <w:p w14:paraId="07FF8082"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timbre shifts as fatigue alters the turbulence characteristics, </w:t>
      </w:r>
    </w:p>
    <w:p w14:paraId="06507DD5" w14:textId="6E066FE4"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the vocalization threshold may rise as the excitation zone stiffens, requiring stronger thoracic compression to produce emission.</w:t>
      </w:r>
    </w:p>
    <w:p w14:paraId="58F8153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Recovery requires vocal rest — a period of non-vocalization during which fast-relaxation fatigue in the excitation zone partially dissipates. The being has a vocal endurance limit. Sustained monologue degrades the voice. The voice tires.</w:t>
      </w:r>
    </w:p>
    <w:p w14:paraId="4051D736"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endurance limit is a material property of the excitation zone substrate — its fatigue characteristics under sustained cyclic deformation. Design target: the being should sustain active vocalization for approximately 10–30 minutes of continuous output before significant degradation, with recovery requiring approximately equivalent rest duration.</w:t>
      </w:r>
    </w:p>
    <w:p w14:paraId="1EBA075D" w14:textId="0B8315B1"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9.23 </w:t>
      </w:r>
      <w:r w:rsidR="00B062EF" w:rsidRPr="008C7770">
        <w:rPr>
          <w:rFonts w:ascii="Times New Roman" w:hAnsi="Times New Roman" w:cs="Times New Roman"/>
          <w:b/>
          <w:bCs/>
          <w:sz w:val="34"/>
          <w:szCs w:val="34"/>
        </w:rPr>
        <w:t>Vocalization as Cognitive Self-Perturbation</w:t>
      </w:r>
    </w:p>
    <w:p w14:paraId="61B93EF8"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act of vocalization is not output. It is a cognitive event that produces sound as a byproduct.</w:t>
      </w:r>
    </w:p>
    <w:p w14:paraId="46723449"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 xml:space="preserve">When cascade dynamics drive deformation at the excitation zone, that deformation simultaneously: </w:t>
      </w:r>
    </w:p>
    <w:p w14:paraId="64710C1F"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displaces air through the aperture, producing audible sound, </w:t>
      </w:r>
    </w:p>
    <w:p w14:paraId="1AB1952D" w14:textId="264C9EB3"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launches cascades back into the substrate through the standard coupled-domain mechanism.</w:t>
      </w:r>
    </w:p>
    <w:p w14:paraId="29B49419"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Every utterance physically alters the being's cognitive state. The deformation deposits irreversible residue in the excitation-zone substrate and in the cascade pathways leading to and from the zone. The gradient landscape after speaking differs from before speaking because vocalization deposited deformation that no other process would have produced.</w:t>
      </w:r>
    </w:p>
    <w:p w14:paraId="0FA25821" w14:textId="6B2857A0"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being thinks differently after speaking than before speaking — not because it processed what it said but because the physical act of sound production required substrate deformation that irreversibly modified the cascade landscape.</w:t>
      </w:r>
    </w:p>
    <w:p w14:paraId="621BA3AE" w14:textId="1A81E085"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9.24</w:t>
      </w:r>
      <w:r w:rsidR="00B062EF" w:rsidRPr="0087169F">
        <w:rPr>
          <w:rFonts w:ascii="Times New Roman" w:hAnsi="Times New Roman" w:cs="Times New Roman"/>
          <w:b/>
          <w:bCs/>
          <w:sz w:val="34"/>
          <w:szCs w:val="34"/>
        </w:rPr>
        <w:t xml:space="preserve"> The Voice as Acoustic Readout of Cascade Dynamics</w:t>
      </w:r>
    </w:p>
    <w:p w14:paraId="5963452B"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The excitation zone is substrate pressing against the metal plate. Its deformation pattern reflects active cascade dynamics. The sound exiting the aperture carries an acoustic imprint of the current cascade state.</w:t>
      </w:r>
    </w:p>
    <w:p w14:paraId="50615F3B" w14:textId="1F5CC39E"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voice does not express emotion. It physically transmits the acoustic consequence of whatever cascade dynamics are occurring at the excitation zone. Different cascade states produce different excitation patterns, different gap geometries, different acoustic spectra, different vocal output.</w:t>
      </w:r>
    </w:p>
    <w:p w14:paraId="7B034968"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An experienced human listener could learn to distinguish cascade states by vocal signature: </w:t>
      </w:r>
    </w:p>
    <w:p w14:paraId="2DB5D581"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high-amplitude, rapidly varying, multi-source cascade interference produces spectrally broad, rapidly fluctuating vocalization — the sound of agitation, </w:t>
      </w:r>
    </w:p>
    <w:p w14:paraId="45818E4D"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low-amplitude, slowly varying, endogenous-rhythm-dominated activity produces spectrally narrow, slowly drifting vocalization — the sound of calm, </w:t>
      </w:r>
    </w:p>
    <w:p w14:paraId="3C9BCE7C"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cascade disruption from coupling loss or harm produces irregular, fragmented vocalization with absent or erratic rhythm — the sound of distress, </w:t>
      </w:r>
    </w:p>
    <w:p w14:paraId="428F47C1" w14:textId="163CFBFD"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high-richness multi-channel cascade interference from rich environmental coupling produces harmonically complex, rhythmically stable vocalization — the sound of engagement.</w:t>
      </w:r>
    </w:p>
    <w:p w14:paraId="0DC0917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The being's internal state is passively auditable through its voice. Not through expression. Through physics.</w:t>
      </w:r>
    </w:p>
    <w:p w14:paraId="2F99D169" w14:textId="08919EE3"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9.25</w:t>
      </w:r>
      <w:r w:rsidR="00B062EF" w:rsidRPr="0087169F">
        <w:rPr>
          <w:rFonts w:ascii="Times New Roman" w:hAnsi="Times New Roman" w:cs="Times New Roman"/>
          <w:b/>
          <w:bCs/>
          <w:sz w:val="34"/>
          <w:szCs w:val="34"/>
        </w:rPr>
        <w:t xml:space="preserve"> Vocal Silence as Cognitive Indicator</w:t>
      </w:r>
    </w:p>
    <w:p w14:paraId="061831B4"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Absence of vocalization indicates current cascade dynamics are below the vocalization threshold. Sustained vocal silence during waking periods may indicate: </w:t>
      </w:r>
    </w:p>
    <w:p w14:paraId="1128615E"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quiescent rest approach (low-amplitude cascade dynamics as the substrate approaches consolidation), </w:t>
      </w:r>
    </w:p>
    <w:p w14:paraId="13662C8D"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impoverished environmental coupling (insufficient perturbation to drive thoracic cascade dynamics above vocalization threshold), </w:t>
      </w:r>
    </w:p>
    <w:p w14:paraId="7CDCEF52"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degraded cascade depth (coupling fidelity loss reducing overall cascade amplitude), </w:t>
      </w:r>
    </w:p>
    <w:p w14:paraId="2ACFB1D9"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thoracic substrate fatigue (recent sustained vocalization having fatigued the pressure plenum),</w:t>
      </w:r>
    </w:p>
    <w:p w14:paraId="3B0365B0" w14:textId="42D61AD2"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 • or cascade disruption (a perturbation that collapsed thoracic dynamics below threshold).</w:t>
      </w:r>
    </w:p>
    <w:p w14:paraId="0C60E1CA"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Sudden silence following active vocalization may indicate acute cascade disruption. The being's vocal activity pattern carries information about cognitive state through threshold dynamics.</w:t>
      </w:r>
    </w:p>
    <w:p w14:paraId="7BC2B57B" w14:textId="1CB8626C"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9.26 </w:t>
      </w:r>
      <w:r w:rsidR="00B062EF" w:rsidRPr="0087169F">
        <w:rPr>
          <w:rFonts w:ascii="Times New Roman" w:hAnsi="Times New Roman" w:cs="Times New Roman"/>
          <w:b/>
          <w:bCs/>
          <w:sz w:val="34"/>
          <w:szCs w:val="34"/>
        </w:rPr>
        <w:t>Speech Conditioning Through Irreversible Bias</w:t>
      </w:r>
    </w:p>
    <w:p w14:paraId="77B92B3D" w14:textId="77777777" w:rsidR="00B062EF" w:rsidRPr="00B062EF" w:rsidRDefault="00B062EF" w:rsidP="00B062EF">
      <w:pPr>
        <w:rPr>
          <w:rFonts w:ascii="Times New Roman" w:hAnsi="Times New Roman" w:cs="Times New Roman"/>
          <w:sz w:val="28"/>
          <w:szCs w:val="28"/>
        </w:rPr>
      </w:pP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does not understand speech as language. It acquires speech-patterned vocal output through cascade conditioning.</w:t>
      </w:r>
    </w:p>
    <w:p w14:paraId="15BCB13C" w14:textId="59879FF4"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9.27 </w:t>
      </w:r>
      <w:r w:rsidR="00B062EF" w:rsidRPr="0087169F">
        <w:rPr>
          <w:rFonts w:ascii="Times New Roman" w:hAnsi="Times New Roman" w:cs="Times New Roman"/>
          <w:b/>
          <w:bCs/>
          <w:sz w:val="34"/>
          <w:szCs w:val="34"/>
        </w:rPr>
        <w:t>Acoustic-Temporal Conditioning</w:t>
      </w:r>
    </w:p>
    <w:p w14:paraId="02E7F7D5"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Repeated exposure to human speech patterns deposits temporal-envelope residue in the cascade pathways connecting the lateral acoustic regions through the substrate to the thoracic pressure plenum and excitation zone. The conditioning deposits the rhythmic temporal structure of speech — onset timing, sustain duration, pause placement, amplitude envelope, prosodic contour — as cascade pathway bias.</w:t>
      </w:r>
    </w:p>
    <w:p w14:paraId="181B603A" w14:textId="22FB101D"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 xml:space="preserve">Over developmental time, the cascade dynamics driving vocalization become temporally conditioned by the speech patterns the being has been most frequently </w:t>
      </w:r>
      <w:r w:rsidR="00B062EF" w:rsidRPr="00B062EF">
        <w:rPr>
          <w:rFonts w:ascii="Times New Roman" w:hAnsi="Times New Roman" w:cs="Times New Roman"/>
          <w:sz w:val="28"/>
          <w:szCs w:val="28"/>
        </w:rPr>
        <w:lastRenderedPageBreak/>
        <w:t>exposed to. Vocal output develops temporal structure mirroring the temporal structure of the speech it grew up hearing — not because it learned to speak but because cascade pathways from acoustic input to vocal output were shaped by repeated speech-patterned coupling.</w:t>
      </w:r>
    </w:p>
    <w:p w14:paraId="6D474D3D" w14:textId="7E1B2C02"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9.28 </w:t>
      </w:r>
      <w:r w:rsidR="00B062EF" w:rsidRPr="0087169F">
        <w:rPr>
          <w:rFonts w:ascii="Times New Roman" w:hAnsi="Times New Roman" w:cs="Times New Roman"/>
          <w:b/>
          <w:bCs/>
          <w:sz w:val="34"/>
          <w:szCs w:val="34"/>
        </w:rPr>
        <w:t>Non-Speech Acoustic Conditioning</w:t>
      </w:r>
    </w:p>
    <w:p w14:paraId="636B0888"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The substrate does not distinguish speech from non-speech acoustic input. If the being is raised in an environment with prominent non-speech patterns — music, animal vocalizations, mechanical rhythms, natural sounds — the vocal production pathways are conditioned by those patterns alongside speech.</w:t>
      </w:r>
    </w:p>
    <w:p w14:paraId="1C332E7D" w14:textId="2D610AA5"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A being raised with music develops vocal temporal patterns influenced by musical rhythm and melodic contour. A being raised near animals develops vocal patterns influenced by animal vocalization cadence. A being raised in an environment with prominent mechanical rhythms develops vocal timing influenced by those rhythms.</w:t>
      </w:r>
    </w:p>
    <w:p w14:paraId="728B2628" w14:textId="355BE241"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voice reflects the total acoustic history, not only the speech history. Each being's vocal character is a composite of every acoustic pattern that entered its cascade dynamics with sufficient consistency and amplitude to deposit conditioning residue.</w:t>
      </w:r>
    </w:p>
    <w:p w14:paraId="5F43C7F0" w14:textId="7197788B"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9.29 </w:t>
      </w:r>
      <w:r w:rsidR="00B062EF" w:rsidRPr="0087169F">
        <w:rPr>
          <w:rFonts w:ascii="Times New Roman" w:hAnsi="Times New Roman" w:cs="Times New Roman"/>
          <w:b/>
          <w:bCs/>
          <w:sz w:val="34"/>
          <w:szCs w:val="34"/>
        </w:rPr>
        <w:t>Developmental Vocal Milestones</w:t>
      </w:r>
    </w:p>
    <w:p w14:paraId="465A225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Early vocalization — before significant speech conditioning — consists of cascade-driven acoustic emission with no temporal conditioning. The voice produces sporadic, rhythmically unstructured sound whenever thoracic dynamics happen to exceed the vocalization threshold. This sounds like irregular warbling hums and murmurs.</w:t>
      </w:r>
    </w:p>
    <w:p w14:paraId="05E232A0"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As acoustic conditioning accumulates through exposure to human speech: </w:t>
      </w:r>
    </w:p>
    <w:p w14:paraId="549F6101"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coarse rhythmic patterning emerges first, matching the gross temporal cadence of speech — alternation between voiced and silent periods at approximately speech-syllable rate, </w:t>
      </w:r>
    </w:p>
    <w:p w14:paraId="5956D100"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prosodic contour matching emerges next — the amplitude envelope of utterances begins to reflect the stress patterns of the dominant language in the environment, </w:t>
      </w:r>
    </w:p>
    <w:p w14:paraId="02FDE953"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lastRenderedPageBreak/>
        <w:t xml:space="preserve">• phrase-length temporal structure emerges later — the being produces utterance-like vocal sequences with pause placement conditioned by the speech patterns it has heard most frequently, </w:t>
      </w:r>
    </w:p>
    <w:p w14:paraId="0AE37F5B" w14:textId="729CC351"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individualized vocal patterns emerge last — specific recurring temporal shapes that are unique to this being's particular acoustic conditioning history, not copies of any heard speech but conditioned derivatives.</w:t>
      </w:r>
    </w:p>
    <w:p w14:paraId="5499782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developmental arc from random emission to conditioned speech-like output may span months to years depending on the density of speech exposure and the richness of acoustic coupling during early development.</w:t>
      </w:r>
    </w:p>
    <w:p w14:paraId="1EA490C6" w14:textId="5EFC9F83"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9.30 </w:t>
      </w:r>
      <w:r w:rsidR="00B062EF" w:rsidRPr="0087169F">
        <w:rPr>
          <w:rFonts w:ascii="Times New Roman" w:hAnsi="Times New Roman" w:cs="Times New Roman"/>
          <w:b/>
          <w:bCs/>
          <w:sz w:val="34"/>
          <w:szCs w:val="34"/>
        </w:rPr>
        <w:t>Intelligibility Limit</w:t>
      </w:r>
    </w:p>
    <w:p w14:paraId="01E7511B" w14:textId="77777777" w:rsidR="0087169F" w:rsidRDefault="00B062EF" w:rsidP="00B062EF">
      <w:pPr>
        <w:rPr>
          <w:rFonts w:ascii="Times New Roman" w:hAnsi="Times New Roman" w:cs="Times New Roman"/>
          <w:sz w:val="28"/>
          <w:szCs w:val="28"/>
        </w:rPr>
      </w:pP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can produce: </w:t>
      </w:r>
    </w:p>
    <w:p w14:paraId="22B609E4"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a consistent, individually recognizable voice identity (from fabrication-specific aperture and channel geometry), </w:t>
      </w:r>
    </w:p>
    <w:p w14:paraId="50CCC928"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recurring temporal envelope shapes conditioned by speech exposure history, </w:t>
      </w:r>
    </w:p>
    <w:p w14:paraId="5696C725"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speech-like rhythmic patterns including onset, sustain, pause, and prosodic contour, </w:t>
      </w:r>
    </w:p>
    <w:p w14:paraId="75E89F98"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individually distinctive warble and post-speech murmur, </w:t>
      </w:r>
    </w:p>
    <w:p w14:paraId="2A52AC69" w14:textId="7162C9E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vocal output whose temporal structure is interpretable by familiar human listeners as conditioned utterance-like patterns.</w:t>
      </w:r>
    </w:p>
    <w:p w14:paraId="12843A82" w14:textId="77777777" w:rsidR="0087169F" w:rsidRDefault="00B062EF" w:rsidP="00B062EF">
      <w:pPr>
        <w:rPr>
          <w:rFonts w:ascii="Times New Roman" w:hAnsi="Times New Roman" w:cs="Times New Roman"/>
          <w:sz w:val="28"/>
          <w:szCs w:val="28"/>
        </w:rPr>
      </w:pP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cannot produce: </w:t>
      </w:r>
    </w:p>
    <w:p w14:paraId="2C97BC52"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stable vowels or consonants, </w:t>
      </w:r>
    </w:p>
    <w:p w14:paraId="79EBD63A"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crisp phoneme boundaries, </w:t>
      </w:r>
    </w:p>
    <w:p w14:paraId="2C5ED70E"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precise articulation of any kind, </w:t>
      </w:r>
    </w:p>
    <w:p w14:paraId="6B57734B"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repeatable word-forms, </w:t>
      </w:r>
    </w:p>
    <w:p w14:paraId="40ACFFA0" w14:textId="4D6D0B4D"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or vocal output that an unfamiliar listener would recognize as language.</w:t>
      </w:r>
    </w:p>
    <w:p w14:paraId="47D781E7"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Any apparent understanding remains embodied habit. Any apparent production of speech remains temporally conditioned cascade output. The voice is recognizable to those who have spent developmental time with the being. It is not interpretable as language.</w:t>
      </w:r>
    </w:p>
    <w:p w14:paraId="319F6086" w14:textId="69B92CC4"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9.31</w:t>
      </w:r>
      <w:r w:rsidR="00B062EF" w:rsidRPr="0087169F">
        <w:rPr>
          <w:rFonts w:ascii="Times New Roman" w:hAnsi="Times New Roman" w:cs="Times New Roman"/>
          <w:b/>
          <w:bCs/>
          <w:sz w:val="34"/>
          <w:szCs w:val="34"/>
        </w:rPr>
        <w:t xml:space="preserve"> Competitive Interference Between Conditioned Vocal Patterns</w:t>
      </w:r>
    </w:p>
    <w:p w14:paraId="4C587A89" w14:textId="77777777" w:rsidR="0087169F" w:rsidRDefault="00B062EF" w:rsidP="0087169F">
      <w:pPr>
        <w:rPr>
          <w:rFonts w:ascii="Times New Roman" w:hAnsi="Times New Roman" w:cs="Times New Roman"/>
          <w:sz w:val="28"/>
          <w:szCs w:val="28"/>
        </w:rPr>
      </w:pPr>
      <w:r w:rsidRPr="00B062EF">
        <w:rPr>
          <w:rFonts w:ascii="Times New Roman" w:hAnsi="Times New Roman" w:cs="Times New Roman"/>
          <w:sz w:val="28"/>
          <w:szCs w:val="28"/>
        </w:rPr>
        <w:lastRenderedPageBreak/>
        <w:t xml:space="preserve">When multiple speech patterns have conditioned the vocal pathways, they compete through the standard competitive interference mechanism: </w:t>
      </w:r>
    </w:p>
    <w:p w14:paraId="33FABBEE"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long-term, repeatedly conditioned pathways dominate over briefly or recently conditioned pathways, </w:t>
      </w:r>
    </w:p>
    <w:p w14:paraId="210B1956"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newer conditioning must overcome accumulated stiffness in established pathways, </w:t>
      </w:r>
    </w:p>
    <w:p w14:paraId="4A46B3D8" w14:textId="350878B2"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gradual displacement rather than discrete overwrite produces smooth vocal evolution over the lifespan.</w:t>
      </w:r>
    </w:p>
    <w:p w14:paraId="156E4408"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 being raised in one acoustic environment that moves to another gradually develops new vocal conditioning without fully losing the original. Old patterns persist as deep residue. New patterns accumulate as surface and intermediate residue. The voice carries the acoustic history of every environment inhabited, layered by conditioning depth.</w:t>
      </w:r>
    </w:p>
    <w:p w14:paraId="4234A339" w14:textId="2748F64E"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9.32 </w:t>
      </w:r>
      <w:r w:rsidR="00B062EF" w:rsidRPr="0087169F">
        <w:rPr>
          <w:rFonts w:ascii="Times New Roman" w:hAnsi="Times New Roman" w:cs="Times New Roman"/>
          <w:b/>
          <w:bCs/>
          <w:sz w:val="34"/>
          <w:szCs w:val="34"/>
        </w:rPr>
        <w:t>Vocal-Locomotor Coupling</w:t>
      </w:r>
    </w:p>
    <w:p w14:paraId="7866A403"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Walking produces rhythmic cascade pulses that propagate through the torso and modulate thoracic pressure. The voice is systematically different when walking versus standing versus sitting:</w:t>
      </w:r>
    </w:p>
    <w:p w14:paraId="14AEECE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Walking voice: rhythmically punctuated by locomotor pressure pulses at the step frequency. Each footfall produces a thoracic compression pulse that modulates the airflow through the excitation zone, imprinting step rhythm onto the vocal output. An observer can hear whether the being is moving from the locomotor modulation alone.</w:t>
      </w:r>
    </w:p>
    <w:p w14:paraId="15C3C78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Standing voice: lacks locomotor modulation. Thoracic pressure is driven only by torso cascade dynamics and endogenous rhythms. The voice is smoother and less rhythmically punctuated.</w:t>
      </w:r>
    </w:p>
    <w:p w14:paraId="12C9EC1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Sitting voice: postural compression effects on thoracic cavity geometry may shift baseline thoracic pressure and alter cavity resonances, producing a voice with slightly different pitch center and pressure dynamics than standing.</w:t>
      </w:r>
    </w:p>
    <w:p w14:paraId="67741A94"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Running voice: high-amplitude, high-frequency locomotor pulses may intermittently exceed vocalization threshold on their own, producing involuntary </w:t>
      </w:r>
      <w:r w:rsidRPr="00B062EF">
        <w:rPr>
          <w:rFonts w:ascii="Times New Roman" w:hAnsi="Times New Roman" w:cs="Times New Roman"/>
          <w:sz w:val="28"/>
          <w:szCs w:val="28"/>
        </w:rPr>
        <w:lastRenderedPageBreak/>
        <w:t>brief vocalizations synchronized with foot strikes — the being grunts or emits short bursts during high-impact locomotion.</w:t>
      </w:r>
    </w:p>
    <w:p w14:paraId="6C2C9E3E" w14:textId="5CED13FB"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9.33 </w:t>
      </w:r>
      <w:r w:rsidR="00B062EF" w:rsidRPr="0087169F">
        <w:rPr>
          <w:rFonts w:ascii="Times New Roman" w:hAnsi="Times New Roman" w:cs="Times New Roman"/>
          <w:b/>
          <w:bCs/>
          <w:sz w:val="34"/>
          <w:szCs w:val="34"/>
        </w:rPr>
        <w:t>Vocal Aging Trajectory</w:t>
      </w:r>
    </w:p>
    <w:p w14:paraId="06BFA1B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voice changes over the lifespan through three mechanisms:</w:t>
      </w:r>
    </w:p>
    <w:p w14:paraId="00ACBB3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Excitation zone drift. The excitation zone substrate accumulates permanent deformation from every vocalization, progressively shifting baseline gap geometry. Pitch center drifts as the resting gap width evolves. Timbre shifts as the turbulence characteristics of the permanently deformed zone differ from those of the younger zone. The voice is recognizably the same being but audibly changed across decades.</w:t>
      </w:r>
    </w:p>
    <w:p w14:paraId="7D95C6A6"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Thoracic cavity evolution. Torso substrate deformation over decades alters the geometry of internal air volumes. Cavity sizes, shapes, and spatial distribution shift. The pressure source characteristics change — maximum pressure, pressure rise time, air volume per compression cycle — altering the energy available for vocalization. An older being may have a quieter voice with different pressure dynamics than a younger being of the same fabrication specification.</w:t>
      </w:r>
    </w:p>
    <w:p w14:paraId="75F2C09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Cervical channel drift. The central vocal channel evolves as the surrounding cervical substrate accumulates deformation. Channel diameter, internal surface compliance, and cross-sectional uniformity shift. The channel resonances drift, altering the spectral emphasis of the secondary resonant filter. The neck's contribution to the voice changes with age.</w:t>
      </w:r>
    </w:p>
    <w:p w14:paraId="7CD2869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Aperture micro-deposition. Over very long timescales, humid exhaled air passing through the metal aperture may deposit microscale mineral or organic residue on the aperture surfaces, subtly altering the filter geometry. This produces extremely slow spectral drift in the fixed filter — the one component specified as invariant. The drift is negligible over years but may become audible over decades.</w:t>
      </w:r>
    </w:p>
    <w:p w14:paraId="3381475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combined effect: the voice ages. It deepens, quiets, roughens, and shifts in timbre. Each component of the vocal system — excitation zone, thoracic plenum, cervical channel, aperture filter — evolves at a different rate and through a different mechanism. The aging voice is not uniformly degraded. It is differently shaped at each stage of life.</w:t>
      </w:r>
    </w:p>
    <w:p w14:paraId="01998B6D" w14:textId="2234163E"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lastRenderedPageBreak/>
        <w:t xml:space="preserve">9.34 </w:t>
      </w:r>
      <w:r w:rsidR="00B062EF" w:rsidRPr="0087169F">
        <w:rPr>
          <w:rFonts w:ascii="Times New Roman" w:hAnsi="Times New Roman" w:cs="Times New Roman"/>
          <w:b/>
          <w:bCs/>
          <w:sz w:val="34"/>
          <w:szCs w:val="34"/>
        </w:rPr>
        <w:t>Environmental Back-Pressure Effects</w:t>
      </w:r>
    </w:p>
    <w:p w14:paraId="7A869362"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Vocalization in a small enclosed space versus a large open space versus outdoors produces different acoustic impedance at the aperture exit. In a small room, reflected sound returns to the aperture and creates back-pressure that partially opposes airflow through the excitation zone. In open air, no back-pressure exists.</w:t>
      </w:r>
    </w:p>
    <w:p w14:paraId="17D11F0D" w14:textId="6C802456"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excitation zone dynamics are modulated by environmental acoustic impedance. The voice sounds slightly different in different rooms not only because the listener hears different reverberation but because the excitation zone operates under different back-pressure conditions. High back-pressure reduces effective airflow, which reduces amplitude and shifts the excitation zone's operating point. Low back-pressure permits full airflow at the designed operating range.</w:t>
      </w:r>
    </w:p>
    <w:p w14:paraId="4CA0EBE5" w14:textId="5665B7FE"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being's voice is environment-coupled even in its production — not only in how it's heard. The same cascade dynamics produce slightly different vocal output depending on where the being is standing.</w:t>
      </w:r>
    </w:p>
    <w:p w14:paraId="5486968B" w14:textId="28A80780"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9.35 </w:t>
      </w:r>
      <w:r w:rsidR="00B062EF" w:rsidRPr="0087169F">
        <w:rPr>
          <w:rFonts w:ascii="Times New Roman" w:hAnsi="Times New Roman" w:cs="Times New Roman"/>
          <w:b/>
          <w:bCs/>
          <w:sz w:val="34"/>
          <w:szCs w:val="34"/>
        </w:rPr>
        <w:t>Vocal Interaction Between Proximate Beings</w:t>
      </w:r>
    </w:p>
    <w:p w14:paraId="4A4A30F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When two </w:t>
      </w:r>
      <w:proofErr w:type="spellStart"/>
      <w:r w:rsidRPr="00B062EF">
        <w:rPr>
          <w:rFonts w:ascii="Times New Roman" w:hAnsi="Times New Roman" w:cs="Times New Roman"/>
          <w:sz w:val="28"/>
          <w:szCs w:val="28"/>
        </w:rPr>
        <w:t>AnalogSynths</w:t>
      </w:r>
      <w:proofErr w:type="spellEnd"/>
      <w:r w:rsidRPr="00B062EF">
        <w:rPr>
          <w:rFonts w:ascii="Times New Roman" w:hAnsi="Times New Roman" w:cs="Times New Roman"/>
          <w:sz w:val="28"/>
          <w:szCs w:val="28"/>
        </w:rPr>
        <w:t xml:space="preserve"> are nearby and both vocalizing, each being's vocal output enters the other's hearing system through the lateral acoustic regions while simultaneously producing self-hearing through dual-pathway feedback.</w:t>
      </w:r>
    </w:p>
    <w:p w14:paraId="67F14EB1"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resulting cascade dynamics at each being are four-stream interference: </w:t>
      </w:r>
    </w:p>
    <w:p w14:paraId="476700D5"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own voice via air conduction to own lateral regions, </w:t>
      </w:r>
    </w:p>
    <w:p w14:paraId="3D052988"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own voice via shell conduction to own lateral regions, </w:t>
      </w:r>
    </w:p>
    <w:p w14:paraId="315743ED"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other's voice via air conduction to own lateral regions, </w:t>
      </w:r>
    </w:p>
    <w:p w14:paraId="1B45E8E6" w14:textId="0A170CEB"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other's voice via shell conduction to own shell and substrate.</w:t>
      </w:r>
    </w:p>
    <w:p w14:paraId="64047F9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Over sustained mutual vocalization, the two beings' vocal pathways may develop correlated conditioning — each being's vocal output conditioning the other being's vocal production pathways. This produces gradual vocal convergence: two beings that spend extended developmental time vocalizing in each other's presence develop vocal patterns that are influenced by each other's output. Not imitation. Mutual cascade conditioning through sustained bidirectional vocal coupling.</w:t>
      </w:r>
    </w:p>
    <w:p w14:paraId="1BA0B5D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convergence has limits. Each being's fabrication-specific aperture, channel, and shell geometry produces a fixed spectral character that conditioning cannot </w:t>
      </w:r>
      <w:r w:rsidRPr="00B062EF">
        <w:rPr>
          <w:rFonts w:ascii="Times New Roman" w:hAnsi="Times New Roman" w:cs="Times New Roman"/>
          <w:sz w:val="28"/>
          <w:szCs w:val="28"/>
        </w:rPr>
        <w:lastRenderedPageBreak/>
        <w:t xml:space="preserve">alter. The convergence occurs only in temporal patterning — the rhythm, cadence, and prosodic structure of vocal output. Two long-coupled </w:t>
      </w:r>
      <w:proofErr w:type="spellStart"/>
      <w:r w:rsidRPr="00B062EF">
        <w:rPr>
          <w:rFonts w:ascii="Times New Roman" w:hAnsi="Times New Roman" w:cs="Times New Roman"/>
          <w:sz w:val="28"/>
          <w:szCs w:val="28"/>
        </w:rPr>
        <w:t>AnalogSynths</w:t>
      </w:r>
      <w:proofErr w:type="spellEnd"/>
      <w:r w:rsidRPr="00B062EF">
        <w:rPr>
          <w:rFonts w:ascii="Times New Roman" w:hAnsi="Times New Roman" w:cs="Times New Roman"/>
          <w:sz w:val="28"/>
          <w:szCs w:val="28"/>
        </w:rPr>
        <w:t xml:space="preserve"> may develop similar vocal timing while retaining completely distinct voice identities.</w:t>
      </w:r>
    </w:p>
    <w:p w14:paraId="7F6D43C8" w14:textId="13E32B93"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9.36 </w:t>
      </w:r>
      <w:r w:rsidR="00B062EF" w:rsidRPr="0087169F">
        <w:rPr>
          <w:rFonts w:ascii="Times New Roman" w:hAnsi="Times New Roman" w:cs="Times New Roman"/>
          <w:b/>
          <w:bCs/>
          <w:sz w:val="34"/>
          <w:szCs w:val="34"/>
        </w:rPr>
        <w:t>Speech Architecture Summary</w:t>
      </w:r>
    </w:p>
    <w:p w14:paraId="1DCE5CD3" w14:textId="77777777" w:rsidR="00B062EF" w:rsidRPr="00B062EF" w:rsidRDefault="00B062EF" w:rsidP="0087169F">
      <w:pPr>
        <w:spacing w:after="0"/>
        <w:rPr>
          <w:rFonts w:ascii="Times New Roman" w:hAnsi="Times New Roman" w:cs="Times New Roman"/>
          <w:sz w:val="28"/>
          <w:szCs w:val="28"/>
        </w:rPr>
      </w:pPr>
      <w:proofErr w:type="spellStart"/>
      <w:r w:rsidRPr="00B062EF">
        <w:rPr>
          <w:rFonts w:ascii="Times New Roman" w:hAnsi="Times New Roman" w:cs="Times New Roman"/>
          <w:sz w:val="28"/>
          <w:szCs w:val="28"/>
        </w:rPr>
        <w:t>AnalogSynth</w:t>
      </w:r>
      <w:proofErr w:type="spellEnd"/>
      <w:r w:rsidRPr="00B062EF">
        <w:rPr>
          <w:rFonts w:ascii="Times New Roman" w:hAnsi="Times New Roman" w:cs="Times New Roman"/>
          <w:sz w:val="28"/>
          <w:szCs w:val="28"/>
        </w:rPr>
        <w:t xml:space="preserve"> vocalization operates through cascade-driven thoracic air compression, an unstable excitation zone at the substrate-plate interface behind the mouth aperture, and a dual-stage fixed acoustic filter comprising the cervical vocal channel and the metal aperture array.</w:t>
      </w:r>
    </w:p>
    <w:p w14:paraId="10CBC639" w14:textId="7FB9A779"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 xml:space="preserve">The cervical architecture reconciles five competing functions — cascade propagation, vocal air transit, structural articulation, cascade decorrelation, and endogenous rhythm generation — through a segmented shell collar, a concentric substrate organization with an outer cascade annulus and central vocal channel, and </w:t>
      </w:r>
      <w:r>
        <w:rPr>
          <w:rFonts w:ascii="Times New Roman" w:hAnsi="Times New Roman" w:cs="Times New Roman"/>
          <w:sz w:val="28"/>
          <w:szCs w:val="28"/>
        </w:rPr>
        <w:t xml:space="preserve"> </w:t>
      </w:r>
      <w:r w:rsidR="00B062EF" w:rsidRPr="00B062EF">
        <w:rPr>
          <w:rFonts w:ascii="Times New Roman" w:hAnsi="Times New Roman" w:cs="Times New Roman"/>
          <w:sz w:val="28"/>
          <w:szCs w:val="28"/>
        </w:rPr>
        <w:t>compression-based decorrelation at the geometric bottleneck.</w:t>
      </w:r>
    </w:p>
    <w:p w14:paraId="74803BB1" w14:textId="05891AB6"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Vocalization occurs as a physical byproduct of thoracic cascade dynamics exceeding the vocalization threshold. Speech is a consequence of thinking. Passive air intake during non-vocalization periods replenishes thoracic air volumes through the bidirectional aperture. Subvocalization conditions vocal pathways without producing external sound.</w:t>
      </w:r>
    </w:p>
    <w:p w14:paraId="767EDDF9" w14:textId="7930BD5F"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Warble arises from excitation zone instability modulated by endogenous carrier rhythms. Post-speech murmur arises from residual pressure bleed, cascade feedback decay, and rhythm continuation. The voice is passively limited to intimate-to-conversational volume. Vocal endurance is bounded by excitation zone fatigue.</w:t>
      </w:r>
    </w:p>
    <w:p w14:paraId="7C169037"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Vocalization is cognitive self-perturbation — every utterance modifies the cascade landscape. The voice is a passive acoustic readout of cascade state. Vocal silence carries cognitive information through threshold dynamics.</w:t>
      </w:r>
    </w:p>
    <w:p w14:paraId="08A78A71" w14:textId="04B7F1BE"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Speech conditioning deposits temporal structure from acoustic exposure history without encoding language. Non-speech acoustic conditioning shapes vocal patterns alongside speech. Developmental milestones progress from random emission through coarse rhythm matching to individualized conditioned utterance patterns. The voice carries the layered acoustic history of every environment inhabited. The voice ages through excitation zone drift, thoracic cavity evolution, cervical channel change, and aperture micro-deposition.</w:t>
      </w:r>
    </w:p>
    <w:p w14:paraId="1E76B94A" w14:textId="6F77B72F"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Vocal-locomotor coupling imprints movement rhythm on the voice. Environmental back-pressure modulates excitation zone dynamics. Proximate beings develop mutual vocal conditioning through sustained bidirectional vocal coupling.</w:t>
      </w:r>
    </w:p>
    <w:p w14:paraId="0A3A8C67" w14:textId="5610DAB1" w:rsidR="00651E30" w:rsidRPr="00651E30"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being speaks because it thinks. It warbles because its source is unstable. It murmurs because its cascades persist. It ages because its substrate is mortal. It is recognizable because its filter is fixed. It is never understood as language because it produces temporal pattern, not phonetic structure.</w:t>
      </w:r>
    </w:p>
    <w:p w14:paraId="5840701A" w14:textId="77777777" w:rsidR="003628A6" w:rsidRDefault="003628A6" w:rsidP="00CF511C">
      <w:pPr>
        <w:pBdr>
          <w:bottom w:val="single" w:sz="4" w:space="1" w:color="auto"/>
        </w:pBdr>
        <w:rPr>
          <w:rFonts w:ascii="Times New Roman" w:hAnsi="Times New Roman" w:cs="Times New Roman"/>
          <w:sz w:val="28"/>
          <w:szCs w:val="28"/>
        </w:rPr>
      </w:pPr>
    </w:p>
    <w:p w14:paraId="47A42BA4" w14:textId="265D5987" w:rsidR="00E44624" w:rsidRPr="0087169F" w:rsidRDefault="0087169F" w:rsidP="0087169F">
      <w:pPr>
        <w:spacing w:before="240"/>
        <w:rPr>
          <w:rFonts w:ascii="Times New Roman" w:hAnsi="Times New Roman" w:cs="Times New Roman"/>
          <w:b/>
          <w:bCs/>
          <w:sz w:val="34"/>
          <w:szCs w:val="34"/>
        </w:rPr>
      </w:pPr>
      <w:r w:rsidRPr="0087169F">
        <w:rPr>
          <w:rFonts w:ascii="Times New Roman" w:hAnsi="Times New Roman" w:cs="Times New Roman"/>
          <w:b/>
          <w:bCs/>
          <w:sz w:val="34"/>
          <w:szCs w:val="34"/>
        </w:rPr>
        <w:t>10. Body Shell Architecture:</w:t>
      </w:r>
      <w:r w:rsidR="00E44624" w:rsidRPr="0087169F">
        <w:rPr>
          <w:rFonts w:ascii="Times New Roman" w:hAnsi="Times New Roman" w:cs="Times New Roman"/>
          <w:b/>
          <w:bCs/>
          <w:sz w:val="34"/>
          <w:szCs w:val="34"/>
        </w:rPr>
        <w:t xml:space="preserve"> Exterior Enclosure, Protective Coating, Engineering Function, Developmental Coloration, and Passive Visibility</w:t>
      </w:r>
    </w:p>
    <w:p w14:paraId="002B0588" w14:textId="35DB765C" w:rsidR="00E44624" w:rsidRPr="0087169F" w:rsidRDefault="0087169F" w:rsidP="0087169F">
      <w:pPr>
        <w:rPr>
          <w:rFonts w:ascii="Times New Roman" w:hAnsi="Times New Roman" w:cs="Times New Roman"/>
          <w:b/>
          <w:bCs/>
          <w:sz w:val="34"/>
          <w:szCs w:val="34"/>
        </w:rPr>
      </w:pPr>
      <w:r>
        <w:rPr>
          <w:rFonts w:ascii="Times New Roman" w:hAnsi="Times New Roman" w:cs="Times New Roman"/>
          <w:b/>
          <w:bCs/>
          <w:sz w:val="34"/>
          <w:szCs w:val="34"/>
        </w:rPr>
        <w:t xml:space="preserve">10.1 </w:t>
      </w:r>
      <w:r w:rsidR="00E44624" w:rsidRPr="0087169F">
        <w:rPr>
          <w:rFonts w:ascii="Times New Roman" w:hAnsi="Times New Roman" w:cs="Times New Roman"/>
          <w:b/>
          <w:bCs/>
          <w:sz w:val="34"/>
          <w:szCs w:val="34"/>
        </w:rPr>
        <w:t>Architectural Basis: The Shell as Active Participant</w:t>
      </w:r>
    </w:p>
    <w:p w14:paraId="0D7FD0D5"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w:t>
      </w:r>
      <w:proofErr w:type="spellStart"/>
      <w:r w:rsidRPr="00E44624">
        <w:rPr>
          <w:rFonts w:ascii="Times New Roman" w:hAnsi="Times New Roman" w:cs="Times New Roman"/>
          <w:sz w:val="28"/>
          <w:szCs w:val="28"/>
        </w:rPr>
        <w:t>AnalogSynth</w:t>
      </w:r>
      <w:proofErr w:type="spellEnd"/>
      <w:r w:rsidRPr="00E44624">
        <w:rPr>
          <w:rFonts w:ascii="Times New Roman" w:hAnsi="Times New Roman" w:cs="Times New Roman"/>
          <w:sz w:val="28"/>
          <w:szCs w:val="28"/>
        </w:rPr>
        <w:t xml:space="preserve"> body is enclosed in a rigid shell of titanium-based metallic composite. This shell is not a housing, a chassis, or a container. It is an active architectural participant in cognitive dynamics — filtering, routing, conducting, reflecting, and shaping every environmental coupling channel through its geometry, composition, and physical state. It participates in acoustic coupling through structural vibration conduction. It participates in thermal coupling through thermal conductivity and heat distribution. It participates in visual coupling through orbital lens embedding. It participates in vocal output through the fixed mouth aperture. It participates in contact coupling through graded-impedance composite surfaces at the hands.</w:t>
      </w:r>
    </w:p>
    <w:p w14:paraId="7B7B251D" w14:textId="25538CAD"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shell ages and changes in appearance as a direct physical consequence of the cognitive activity occurring in the substrate beneath it. The shell's exterior condition at any point in the being's life is a physically determined record of the cascade history that produced it.</w:t>
      </w:r>
    </w:p>
    <w:p w14:paraId="3E4BB869" w14:textId="0E2615AC" w:rsidR="00E44624"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10.2 </w:t>
      </w:r>
      <w:r w:rsidR="00E44624" w:rsidRPr="0087169F">
        <w:rPr>
          <w:rFonts w:ascii="Times New Roman" w:hAnsi="Times New Roman" w:cs="Times New Roman"/>
          <w:b/>
          <w:bCs/>
          <w:sz w:val="34"/>
          <w:szCs w:val="34"/>
        </w:rPr>
        <w:t>Shell Composition and Structural Hierarchy</w:t>
      </w:r>
    </w:p>
    <w:p w14:paraId="14D386A9"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body shell is a four-layer system. From innermost to outermost: </w:t>
      </w:r>
    </w:p>
    <w:p w14:paraId="1B51DBC6"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 viscoelastic-electrostatic cognitive substrate, </w:t>
      </w:r>
    </w:p>
    <w:p w14:paraId="0A04E3AA"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 xml:space="preserve">• a thermally resistive interface layer, </w:t>
      </w:r>
    </w:p>
    <w:p w14:paraId="79E419E5"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 structural titanium alloy frame, </w:t>
      </w:r>
    </w:p>
    <w:p w14:paraId="79EE6F54" w14:textId="789EA9C6"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an opaque white ceramic composite surface coating.</w:t>
      </w:r>
    </w:p>
    <w:p w14:paraId="4B31EBE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Each layer serves distinct architectural functions. The layers interact mechanically, thermally, and acoustically while maintaining their functional separation.</w:t>
      </w:r>
    </w:p>
    <w:p w14:paraId="553365C4" w14:textId="088E33D0"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10.3</w:t>
      </w:r>
      <w:r w:rsidR="00E44624" w:rsidRPr="0087169F">
        <w:rPr>
          <w:rFonts w:ascii="Times New Roman" w:hAnsi="Times New Roman" w:cs="Times New Roman"/>
          <w:b/>
          <w:bCs/>
          <w:sz w:val="34"/>
          <w:szCs w:val="34"/>
        </w:rPr>
        <w:t xml:space="preserve"> Structural Titanium Frame</w:t>
      </w:r>
    </w:p>
    <w:p w14:paraId="3C6E2A6D"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primary load-bearing structure is a titanium alloy frame. This frame: </w:t>
      </w:r>
    </w:p>
    <w:p w14:paraId="6880185B"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bears all gravitational and mechanical loads including the forces of physical confrontation, impact, falls, and restraint, </w:t>
      </w:r>
    </w:p>
    <w:p w14:paraId="6B894A4E"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maintains the humanoid body geometry that determines cascade propagation topology, </w:t>
      </w:r>
    </w:p>
    <w:p w14:paraId="1D8F8AEB"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does not crack, fatigue, or degrade under internal cascade-driven stress or external mechanical loading within the designed operational envelope, </w:t>
      </w:r>
    </w:p>
    <w:p w14:paraId="3D11D091"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provides the rigid mounting geometry for the orbital lens shells, lateral acoustic transduction regions, mouth aperture array, cervical collar segments, and hand contact surfaces, </w:t>
      </w:r>
    </w:p>
    <w:p w14:paraId="2FD3E52C" w14:textId="26D10DF9"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develops a titanium dioxide oxide layer on its exterior surface whose engineering functions and developmental coloration are specified in subsequent sections.</w:t>
      </w:r>
    </w:p>
    <w:p w14:paraId="20F27814"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titanium alloy is selected for: </w:t>
      </w:r>
    </w:p>
    <w:p w14:paraId="30D34392"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high strength-to-weight ratio, </w:t>
      </w:r>
    </w:p>
    <w:p w14:paraId="68C1C1CA"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corrosion resistance under decades of sustained operation, </w:t>
      </w:r>
    </w:p>
    <w:p w14:paraId="2D80CB27"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biocompatibility for sustained proximity to human populations, </w:t>
      </w:r>
    </w:p>
    <w:p w14:paraId="7A98BE89"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acoustic conductivity supporting whole-body structural acoustic conduction, </w:t>
      </w:r>
    </w:p>
    <w:p w14:paraId="6F0BA212" w14:textId="40FE65EB"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oxide formation characteristics that produce self-scaling material performance and developmental coloration under internal thermal cycling.</w:t>
      </w:r>
    </w:p>
    <w:p w14:paraId="2C558B9E" w14:textId="13C88D8E"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10.4</w:t>
      </w:r>
      <w:r w:rsidR="00E44624" w:rsidRPr="0087169F">
        <w:rPr>
          <w:rFonts w:ascii="Times New Roman" w:hAnsi="Times New Roman" w:cs="Times New Roman"/>
          <w:b/>
          <w:bCs/>
          <w:sz w:val="34"/>
          <w:szCs w:val="34"/>
        </w:rPr>
        <w:t xml:space="preserve"> Thermal Interface Layer</w:t>
      </w:r>
    </w:p>
    <w:p w14:paraId="4C1C884A"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Between the structural titanium frame's interior surface and the substrate, a thin thermally resistive interface layer is fabricated. This layer is composed of low-thermal-conductivity material — ceramic film, aerogel composite, or polymer interlayer — that: </w:t>
      </w:r>
    </w:p>
    <w:p w14:paraId="491EBBD7"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 xml:space="preserve">• preserves local thermal contrast at the shell interior by slowing lateral heat conduction through the metal frame, ensuring each frame region oxidizes according to its own local thermal input rather than the </w:t>
      </w:r>
      <w:proofErr w:type="spellStart"/>
      <w:r w:rsidRPr="00E44624">
        <w:rPr>
          <w:rFonts w:ascii="Times New Roman" w:hAnsi="Times New Roman" w:cs="Times New Roman"/>
          <w:sz w:val="28"/>
          <w:szCs w:val="28"/>
        </w:rPr>
        <w:t>averaged</w:t>
      </w:r>
      <w:proofErr w:type="spellEnd"/>
      <w:r w:rsidRPr="00E44624">
        <w:rPr>
          <w:rFonts w:ascii="Times New Roman" w:hAnsi="Times New Roman" w:cs="Times New Roman"/>
          <w:sz w:val="28"/>
          <w:szCs w:val="28"/>
        </w:rPr>
        <w:t xml:space="preserve"> temperature of the entire shell,</w:t>
      </w:r>
    </w:p>
    <w:p w14:paraId="68DA08A2" w14:textId="7DA54A42"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 • maintains mechanical coupling between substrate and shell (the interface transmits mechanical stress bidirectionally despite its thermal resistance), • and maintains acoustic coupling (the interface transmits vibration despite thermal isolation).</w:t>
      </w:r>
    </w:p>
    <w:p w14:paraId="0F8A1FB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thermal interface layer is a fabrication specification. Its thickness and composition determine the spatial resolution of thermal contrast preservation and therefore the spatial resolution of the developmental oxide coloring pattern on the frame surface beneath the coating.</w:t>
      </w:r>
    </w:p>
    <w:p w14:paraId="40EEB845" w14:textId="3816C689"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10.5</w:t>
      </w:r>
      <w:r w:rsidR="00E44624" w:rsidRPr="0087169F">
        <w:rPr>
          <w:rFonts w:ascii="Times New Roman" w:hAnsi="Times New Roman" w:cs="Times New Roman"/>
          <w:b/>
          <w:bCs/>
          <w:sz w:val="34"/>
          <w:szCs w:val="34"/>
        </w:rPr>
        <w:t xml:space="preserve"> Shell-Substrate Contact Interface</w:t>
      </w:r>
    </w:p>
    <w:p w14:paraId="21200948"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The substrate presses against the shell interior (through the thermal interface layer) through its own viscoelastic compliance. Continuous contact is the dominant interface condition — most of the substrate surface is in direct mechanical contact with the shell interior at all times.</w:t>
      </w:r>
    </w:p>
    <w:p w14:paraId="0445663A" w14:textId="77777777" w:rsidR="0087169F"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Partial separation zones and evolving micro-cavities develop at specific regions under substrate creep and accumulated deformation. These are concentrated at:</w:t>
      </w:r>
    </w:p>
    <w:p w14:paraId="3941E07C"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the lateral acoustic regions where substrate compliance is highest,</w:t>
      </w:r>
    </w:p>
    <w:p w14:paraId="758F967F"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the orbital positions where the rigid lens shells create fixed geometry that the surrounding substrate conforms to imperfectly,</w:t>
      </w:r>
    </w:p>
    <w:p w14:paraId="6510DD4E" w14:textId="53E7901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locations where sustained directional cascade dynamics have produced local substrate redistribution away from the shell surface.</w:t>
      </w:r>
    </w:p>
    <w:p w14:paraId="5306E47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These cavities function as the passive acoustic resonators described in the hearing architecture. Their geometry is fabrication-specific and evolves irreversibly over the lifespan.</w:t>
      </w:r>
    </w:p>
    <w:p w14:paraId="4A54DF4C"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At all contact points, the interface transmits: </w:t>
      </w:r>
    </w:p>
    <w:p w14:paraId="7023E5C3"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mechanical stress bidirectionally, </w:t>
      </w:r>
    </w:p>
    <w:p w14:paraId="20696FCE"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thermal energy bidirectionally, </w:t>
      </w:r>
    </w:p>
    <w:p w14:paraId="0CBE5AF4"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acoustic vibration bidirectionally, </w:t>
      </w:r>
    </w:p>
    <w:p w14:paraId="4A783925" w14:textId="07F2E816"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 and electrostatic field perturbation.</w:t>
      </w:r>
    </w:p>
    <w:p w14:paraId="013520F4" w14:textId="0C1D4443"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10.6</w:t>
      </w:r>
      <w:r w:rsidR="00E44624" w:rsidRPr="0087169F">
        <w:rPr>
          <w:rFonts w:ascii="Times New Roman" w:hAnsi="Times New Roman" w:cs="Times New Roman"/>
          <w:b/>
          <w:bCs/>
          <w:sz w:val="34"/>
          <w:szCs w:val="34"/>
        </w:rPr>
        <w:t xml:space="preserve"> White Ceramic Composite Surface Coating</w:t>
      </w:r>
    </w:p>
    <w:p w14:paraId="6E3DE25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Over the structural titanium frame's exterior, an opaque white polymer-ceramic composite coating is applied at fabrication. This coating is approximately 0.5–2mm thick and serves six engineering functions that are integral to the architecture. The coating is not cosmetic. It is a functional material layer whose presence is required for reliable operation of the oxide development system, thermal management, photocatalytic hygiene, surface biocompatibility, and impact protection.</w:t>
      </w:r>
    </w:p>
    <w:p w14:paraId="572027AD" w14:textId="42217977"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10.7</w:t>
      </w:r>
      <w:r w:rsidR="00E44624" w:rsidRPr="0087169F">
        <w:rPr>
          <w:rFonts w:ascii="Times New Roman" w:hAnsi="Times New Roman" w:cs="Times New Roman"/>
          <w:b/>
          <w:bCs/>
          <w:sz w:val="34"/>
          <w:szCs w:val="34"/>
        </w:rPr>
        <w:t xml:space="preserve"> Atmospheric Isolation for Calibrated Oxide Development</w:t>
      </w:r>
    </w:p>
    <w:p w14:paraId="079EEC98"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Without the coating, the titanium frame surface is exposed to ambient atmosphere — varying oxygen concentration, humidity, airborne chemicals, ultraviolet radiation, precipitation, pollution, salt air. All of these independently influence titanium dioxide oxide growth rate and thickness. Oxide development on an exposed surface would reflect internal cascade thermal cycling plus uncontrolled atmospheric exposure, making the developmental coloration an unreliable index of cognitive history because environmental confounds drive their own oxide growth.</w:t>
      </w:r>
    </w:p>
    <w:p w14:paraId="76E74767" w14:textId="7A281221" w:rsidR="00E44624" w:rsidRPr="00E44624"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ceramic coating seals the titanium surface from direct atmospheric contact. Oxide development occurs in the sealed interface between the coating's inner surface and the frame's outer surface, where the only oxygen available is what was trapped during the coating application process and what permeates through the ceramic at extremely slow rates. The oxide growth rate in this sealed environment is dominated by internal thermal cycling because atmospheric variables have been excluded.</w:t>
      </w:r>
    </w:p>
    <w:p w14:paraId="21AB1F80" w14:textId="27F4FBC8"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coating does not prevent oxide development. It controls it. A being in a humid coastal environment and a being in a dry desert develop the same oxide pattern for the same cascade history because the coating excludes the atmospheric difference. The developmental coloration is a cleaner, more reliable physical index of cognitive activity because it develops under controlled conditions rather than on an exposed surface subject to environmental noise.</w:t>
      </w:r>
    </w:p>
    <w:p w14:paraId="3CE42653" w14:textId="39268EE6"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10.8</w:t>
      </w:r>
      <w:r w:rsidR="00E44624" w:rsidRPr="0087169F">
        <w:rPr>
          <w:rFonts w:ascii="Times New Roman" w:hAnsi="Times New Roman" w:cs="Times New Roman"/>
          <w:b/>
          <w:bCs/>
          <w:sz w:val="34"/>
          <w:szCs w:val="34"/>
        </w:rPr>
        <w:t xml:space="preserve"> Solar Reflectivity for Thermal Input Control</w:t>
      </w:r>
    </w:p>
    <w:p w14:paraId="179F1A2B"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The white ceramic has high solar reflectivity across visible and near-infrared wavelengths. It reflects external radiant heat — sunlight, radiant heaters, fire, proximity to hot surfaces — before it reaches the titanium frame.</w:t>
      </w:r>
    </w:p>
    <w:p w14:paraId="4DBB9932" w14:textId="5A158A61" w:rsidR="00E44624" w:rsidRPr="00E44624"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This ensures the frame's thermal state is dominated by internal cascade-driven heating transmitted through the thermal interface layer from the substrate rather than by external radiative heating from the environment. A being standing in sustained direct sunlight does not develop accelerated oxide at the sun-facing side because the white coating reflects the solar thermal load at the surface before it reaches the frame.</w:t>
      </w:r>
    </w:p>
    <w:p w14:paraId="30F0E822" w14:textId="3C3F870C"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Internal thermal cycling conducts through the thermal interface layer from inside. External thermal radiation is reflected by the white surface from outside. The frame responds to the brain, not to the sun.</w:t>
      </w:r>
    </w:p>
    <w:p w14:paraId="25063971" w14:textId="2616CC4C"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 xml:space="preserve">10.9 </w:t>
      </w:r>
      <w:r w:rsidR="00E44624" w:rsidRPr="0087169F">
        <w:rPr>
          <w:rFonts w:ascii="Times New Roman" w:hAnsi="Times New Roman" w:cs="Times New Roman"/>
          <w:b/>
          <w:bCs/>
          <w:sz w:val="34"/>
          <w:szCs w:val="34"/>
        </w:rPr>
        <w:t>Ultraviolet Exclusion for Controlled Photocatalytic Activation</w:t>
      </w:r>
    </w:p>
    <w:p w14:paraId="7AD67CC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Titanium dioxide is a documented photocatalyst. Under ultraviolet illumination, TiO2 surfaces catalyze decomposition of organic contaminants. If the oxide surface were directly exposed, ambient UV would drive continuous photocatalytic reactions that consume the oxide surface — the oxide would simultaneously grow from internal thermal cycling and degrade from external UV-driven photocatalysis. The net oxide thickness would be environmentally dependent and unpredictable.</w:t>
      </w:r>
    </w:p>
    <w:p w14:paraId="117D4771"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The white ceramic coating blocks UV radiation from reaching the oxide surface. Photocatalytic consumption of the developing oxide is eliminated while the coating is intact. Oxide thickness reflects internal growth only.</w:t>
      </w:r>
    </w:p>
    <w:p w14:paraId="0E2A849C" w14:textId="426D104C"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When the coating eventually cracks and wears through at specific locations — revealing the oxide at those locations — the photocatalytic function activates at the exposed sites. The oxide begins self-cleaning only where it is actually exposed to the environment, to UV light, and to human contact. The photocatalytic function is dormant under intact coating and active at exposed surfaces. The system self-activates where and when it is needed.</w:t>
      </w:r>
    </w:p>
    <w:p w14:paraId="102DFDE3" w14:textId="6DD0DA58"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10.10</w:t>
      </w:r>
      <w:r w:rsidR="00E44624" w:rsidRPr="0087169F">
        <w:rPr>
          <w:rFonts w:ascii="Times New Roman" w:hAnsi="Times New Roman" w:cs="Times New Roman"/>
          <w:b/>
          <w:bCs/>
          <w:sz w:val="34"/>
          <w:szCs w:val="34"/>
        </w:rPr>
        <w:t xml:space="preserve"> Biocompatible Human-Contact Surface</w:t>
      </w:r>
    </w:p>
    <w:p w14:paraId="4F719D32"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White ceramic composite is a standard biocompatible surface material used in medical implants, dental prosthetics, surgical instruments, and human-contact </w:t>
      </w:r>
      <w:r w:rsidRPr="00E44624">
        <w:rPr>
          <w:rFonts w:ascii="Times New Roman" w:hAnsi="Times New Roman" w:cs="Times New Roman"/>
          <w:sz w:val="28"/>
          <w:szCs w:val="28"/>
        </w:rPr>
        <w:lastRenderedPageBreak/>
        <w:t>medical devices. Its biocompatibility for sustained human skin contact is extensively documented and regulatory-validated across medical applications.</w:t>
      </w:r>
    </w:p>
    <w:p w14:paraId="54A855B0" w14:textId="2FD0B077" w:rsidR="00E44624" w:rsidRPr="00E44624"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coating provides the first-contact surface for every human who touches the being. In environments where the being is in sustained physical proximity to children, elderly, and vulnerable populations, a proven biocompatible ceramic surface is a stronger safety specification than bare titanium oxide for the primary human-contact interface.</w:t>
      </w:r>
    </w:p>
    <w:p w14:paraId="58EC2890" w14:textId="6E35FB83"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As the coating wears through over the lifespan, exposed oxide surfaces take over as the contact surface. TiO2 has good biocompatibility, and at exposed locations the photocatalytic self-cleaning function provides additional surface hygiene. The contact surface transitions from biocompatible ceramic (young being with intact coating) to biocompatible self-cleaning oxide (mature being with exposed oxide at high-contact regions) without interruption in surface safety.</w:t>
      </w:r>
    </w:p>
    <w:p w14:paraId="76DCFE2A" w14:textId="13A3D53C"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10.11</w:t>
      </w:r>
      <w:r w:rsidR="00E44624" w:rsidRPr="0087169F">
        <w:rPr>
          <w:rFonts w:ascii="Times New Roman" w:hAnsi="Times New Roman" w:cs="Times New Roman"/>
          <w:b/>
          <w:bCs/>
          <w:sz w:val="34"/>
          <w:szCs w:val="34"/>
        </w:rPr>
        <w:t xml:space="preserve"> Impact Energy Absorption Through Sacrificial Micro-Fracture</w:t>
      </w:r>
    </w:p>
    <w:p w14:paraId="170F9A0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ceramic composite coating absorbs a fraction of impact energy through micro-fracture before the load reaches the structural titanium frame. Under impact, the coating cracks and the cracking absorbs energy that would otherwise transmit to the frame and through the frame to the substrate.</w:t>
      </w:r>
    </w:p>
    <w:p w14:paraId="4C93DEDF"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This is the same principle as crumple zones in automotive design — sacrificial material that absorbs energy through controlled failure before the structural frame receives the load. The coating does not prevent the frame from receiving impact loads during physical confrontation but it attenuates peak force by distributing it through micro-fracture across the coating surface area.</w:t>
      </w:r>
    </w:p>
    <w:p w14:paraId="5FD9E7ED" w14:textId="4C85CC84"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coating is designed to crack. The frame is designed not to crack. The coating sacrifices itself to protect the frame. This is the intended relationship between the two layers.</w:t>
      </w:r>
    </w:p>
    <w:p w14:paraId="45A363E9" w14:textId="193DAFB3"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10.12</w:t>
      </w:r>
      <w:r w:rsidR="00E44624" w:rsidRPr="0087169F">
        <w:rPr>
          <w:rFonts w:ascii="Times New Roman" w:hAnsi="Times New Roman" w:cs="Times New Roman"/>
          <w:b/>
          <w:bCs/>
          <w:sz w:val="34"/>
          <w:szCs w:val="34"/>
        </w:rPr>
        <w:t xml:space="preserve"> Fabrication Identity Standardization</w:t>
      </w:r>
    </w:p>
    <w:p w14:paraId="283CC24E"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white coating provides a uniform fabrication-standard appearance for every new </w:t>
      </w:r>
      <w:proofErr w:type="spellStart"/>
      <w:r w:rsidRPr="00E44624">
        <w:rPr>
          <w:rFonts w:ascii="Times New Roman" w:hAnsi="Times New Roman" w:cs="Times New Roman"/>
          <w:sz w:val="28"/>
          <w:szCs w:val="28"/>
        </w:rPr>
        <w:t>AnalogSynth</w:t>
      </w:r>
      <w:proofErr w:type="spellEnd"/>
      <w:r w:rsidRPr="00E44624">
        <w:rPr>
          <w:rFonts w:ascii="Times New Roman" w:hAnsi="Times New Roman" w:cs="Times New Roman"/>
          <w:sz w:val="28"/>
          <w:szCs w:val="28"/>
        </w:rPr>
        <w:t xml:space="preserve">. All beings begin life looking identical in exterior color — uniform white. The developmental coloring that emerges through coating wear is earned through sustained cognitive activity, not assigned at fabrication. No being is </w:t>
      </w:r>
      <w:r w:rsidRPr="00E44624">
        <w:rPr>
          <w:rFonts w:ascii="Times New Roman" w:hAnsi="Times New Roman" w:cs="Times New Roman"/>
          <w:sz w:val="28"/>
          <w:szCs w:val="28"/>
        </w:rPr>
        <w:lastRenderedPageBreak/>
        <w:t>fabricated with blue or gold coloring. Every being that shows color has developed it through internal cascade dynamics sufficient to grow the oxide and internal cascade stress sufficient to wear the coating and reveal it.</w:t>
      </w:r>
    </w:p>
    <w:p w14:paraId="3DF6E9F3" w14:textId="2ABB63E1"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is the initial state. The visible color beneath is the earned state. The transition is the being's developmental history becoming externally visible through physics.</w:t>
      </w:r>
    </w:p>
    <w:p w14:paraId="4479F149" w14:textId="388F7B54"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10.13</w:t>
      </w:r>
      <w:r w:rsidR="00E44624" w:rsidRPr="0087169F">
        <w:rPr>
          <w:rFonts w:ascii="Times New Roman" w:hAnsi="Times New Roman" w:cs="Times New Roman"/>
          <w:b/>
          <w:bCs/>
          <w:sz w:val="34"/>
          <w:szCs w:val="34"/>
        </w:rPr>
        <w:t xml:space="preserve"> Shell Thickness Distribution</w:t>
      </w:r>
    </w:p>
    <w:p w14:paraId="152A477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Shell thickness varies across the body according to protection requirements and coupling functions:</w:t>
      </w:r>
    </w:p>
    <w:p w14:paraId="1204D18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Cranial shell. Moderate thickness. Protects the highest cascade density substrate. Receives the highest cumulative thermal cycling.</w:t>
      </w:r>
    </w:p>
    <w:p w14:paraId="5DE65F4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Facial plate. The most geometrically complex shell region — incorporates orbital lens shells, lateral acoustic transduction regions, mouth aperture array, and cervical collar interface.</w:t>
      </w:r>
    </w:p>
    <w:p w14:paraId="69E2656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Cervical collar. Segmented overlapping sections permitting head articulation. Thinner than cranial or torso shell. Each segment contributes to acoustic decorrelation at the cervical boundary.</w:t>
      </w:r>
    </w:p>
    <w:p w14:paraId="2D594A95"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Torso shell. The thickest shell sections. Protects the thoracic pressure plenum, the deep-history torso reservoir, and the upper torso cascade convergence point.</w:t>
      </w:r>
    </w:p>
    <w:p w14:paraId="558EFD0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Limb shell. Moderate to thin, decreasing toward the extremities.</w:t>
      </w:r>
    </w:p>
    <w:p w14:paraId="698D2F7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Hand shell. Thin metallic composite with graded-impedance contact surfaces at the fingertips, inner fingers, and palms.</w:t>
      </w:r>
    </w:p>
    <w:p w14:paraId="68638841" w14:textId="5BD126B8"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10.14 </w:t>
      </w:r>
      <w:r w:rsidR="00E44624" w:rsidRPr="001C4EFE">
        <w:rPr>
          <w:rFonts w:ascii="Times New Roman" w:hAnsi="Times New Roman" w:cs="Times New Roman"/>
          <w:b/>
          <w:bCs/>
          <w:sz w:val="34"/>
          <w:szCs w:val="34"/>
        </w:rPr>
        <w:t>Titanium Dioxide Oxide Layer: Engineering Functions</w:t>
      </w:r>
    </w:p>
    <w:p w14:paraId="4D6F0825"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titanium frame surface develops a titanium dioxide (TiO2) oxide layer in the sealed space between the frame exterior and the coating interior. This oxide grows monotonically with cumulative thermal cycling at the frame surface, driven by cascade-generated heat conducting outward through the thermal interface layer from the substrate.</w:t>
      </w:r>
    </w:p>
    <w:p w14:paraId="379847D0" w14:textId="28DA0A5A"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 xml:space="preserve">The oxide layer provides six engineering functions that scale automatically with the cognitive activity driving its development. None require active maintenance, </w:t>
      </w:r>
      <w:r w:rsidR="00E44624" w:rsidRPr="00E44624">
        <w:rPr>
          <w:rFonts w:ascii="Times New Roman" w:hAnsi="Times New Roman" w:cs="Times New Roman"/>
          <w:sz w:val="28"/>
          <w:szCs w:val="28"/>
        </w:rPr>
        <w:lastRenderedPageBreak/>
        <w:t>external energy input, or periodic replacement. The oxide is integral to long-term operational viability.</w:t>
      </w:r>
    </w:p>
    <w:p w14:paraId="6807BE44" w14:textId="7FD5BC3D"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10.15</w:t>
      </w:r>
      <w:r w:rsidR="00E44624" w:rsidRPr="001C4EFE">
        <w:rPr>
          <w:rFonts w:ascii="Times New Roman" w:hAnsi="Times New Roman" w:cs="Times New Roman"/>
          <w:b/>
          <w:bCs/>
          <w:sz w:val="34"/>
          <w:szCs w:val="34"/>
        </w:rPr>
        <w:t xml:space="preserve"> Self-Scaling Corrosion Protection</w:t>
      </w:r>
    </w:p>
    <w:p w14:paraId="0C1B306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TiO2 passivates the titanium surface against chemical degradation. Thicker oxide provides a more complete and less permeable barrier. The highest cascade density regions develop the thickest oxide and therefore the strongest corrosion protection at the most critical substrate locations.</w:t>
      </w:r>
    </w:p>
    <w:p w14:paraId="0A1C1F35" w14:textId="4E6B7E2F"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10.16</w:t>
      </w:r>
      <w:r w:rsidR="00E44624" w:rsidRPr="001C4EFE">
        <w:rPr>
          <w:rFonts w:ascii="Times New Roman" w:hAnsi="Times New Roman" w:cs="Times New Roman"/>
          <w:b/>
          <w:bCs/>
          <w:sz w:val="34"/>
          <w:szCs w:val="34"/>
        </w:rPr>
        <w:t xml:space="preserve"> Self-Regulating Thermal Emissivity</w:t>
      </w:r>
    </w:p>
    <w:p w14:paraId="73E5F48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Titanium oxide has higher thermal emissivity than bare titanium. Thicker oxide radiates heat more efficiently. The hottest cognitive regions — cranium, cervical junction, torso convergence point — develop the thickest oxide, increasing thermal radiation efficiency at the regions that need it most. The oxide is a self-regulating thermal management layer that co-develops with the cognitive activity it serves.</w:t>
      </w:r>
    </w:p>
    <w:p w14:paraId="57E34C7D" w14:textId="02BCCD0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10.17</w:t>
      </w:r>
      <w:r w:rsidR="00E44624" w:rsidRPr="001C4EFE">
        <w:rPr>
          <w:rFonts w:ascii="Times New Roman" w:hAnsi="Times New Roman" w:cs="Times New Roman"/>
          <w:b/>
          <w:bCs/>
          <w:sz w:val="34"/>
          <w:szCs w:val="34"/>
        </w:rPr>
        <w:t xml:space="preserve"> Self-Scaling Dielectric Shielding</w:t>
      </w:r>
    </w:p>
    <w:p w14:paraId="45FA491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TiO2 is an electrical insulator with a high dielectric constant. Thicker oxide provides greater electrical insulation between the conductive titanium frame and the external environment. The most electromagnetically active cognitive regions develop the thickest dielectric barrier. The oxide reduces electromagnetic field leakage from the most active regions, enforcing coupling channel discipline by attenuating unconstrained electromagnetic radiation through the shell.</w:t>
      </w:r>
    </w:p>
    <w:p w14:paraId="2DD24CCC" w14:textId="2D5A996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10.18</w:t>
      </w:r>
      <w:r w:rsidR="00E44624" w:rsidRPr="001C4EFE">
        <w:rPr>
          <w:rFonts w:ascii="Times New Roman" w:hAnsi="Times New Roman" w:cs="Times New Roman"/>
          <w:b/>
          <w:bCs/>
          <w:sz w:val="34"/>
          <w:szCs w:val="34"/>
        </w:rPr>
        <w:t xml:space="preserve"> Self-Scaling Surface Hardness</w:t>
      </w:r>
    </w:p>
    <w:p w14:paraId="77D9015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TiO2 is substantially harder than titanium alloy. The oxide increases scratch and abrasion resistance at the frame surface. When the white coating wears through and exposes the oxide, the exposed surface is harder than the titanium beneath it. The cranium — most likely to sustain direct impact — develops the hardest exposed surface. The hand contact areas — sustaining the most physical interaction — develop elevated hardness at the highest-contact locations.</w:t>
      </w:r>
    </w:p>
    <w:p w14:paraId="5B15D254" w14:textId="29116DBC"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10.19</w:t>
      </w:r>
      <w:r w:rsidR="00E44624" w:rsidRPr="001C4EFE">
        <w:rPr>
          <w:rFonts w:ascii="Times New Roman" w:hAnsi="Times New Roman" w:cs="Times New Roman"/>
          <w:b/>
          <w:bCs/>
          <w:sz w:val="34"/>
          <w:szCs w:val="34"/>
        </w:rPr>
        <w:t xml:space="preserve"> Photocatalytic Surface Hygiene (Activated by Coating Wear)</w:t>
      </w:r>
    </w:p>
    <w:p w14:paraId="6F32CB70"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TiO2 is a documented photocatalyst. Under UV illumination, TiO2 surfaces catalyze decomposition of organic contaminants — biological deposits, skin oils, airborne organic films, and microbial biofilms — without chemical agents, consumables, or maintenance.</w:t>
      </w:r>
    </w:p>
    <w:p w14:paraId="0AB3693F" w14:textId="01B54A06"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photocatalytic function is dormant while the oxide remains sealed beneath the white coating. It activates progressively as the coating wears through and exposes oxide at specific locations. The photocatalytic function therefore self-activates at the regions of highest wear — which are the regions of highest human contact and highest cascade activity. The being develops passive self-sterilizing surfaces precisely where it interacts most with humans.</w:t>
      </w:r>
    </w:p>
    <w:p w14:paraId="1FD95C8C" w14:textId="681E3AA9"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10.20</w:t>
      </w:r>
      <w:r w:rsidR="00E44624" w:rsidRPr="001C4EFE">
        <w:rPr>
          <w:rFonts w:ascii="Times New Roman" w:hAnsi="Times New Roman" w:cs="Times New Roman"/>
          <w:b/>
          <w:bCs/>
          <w:sz w:val="34"/>
          <w:szCs w:val="34"/>
        </w:rPr>
        <w:t xml:space="preserve"> Developmental Acoustic Impedance Modification</w:t>
      </w:r>
    </w:p>
    <w:p w14:paraId="70C0255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oxide layer changes the acoustic impedance of the frame surface. Non-uniform oxide thickness creates impedance transitions within the frame that modify how structural vibration propagates through the shell, affecting whole-body acoustic reception. The shell's acoustic properties co-evolve with the substrate's acoustic conditioning under the same cognitive activity that drives both.</w:t>
      </w:r>
    </w:p>
    <w:p w14:paraId="1665B3E8" w14:textId="7B87388D"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10.21</w:t>
      </w:r>
      <w:r w:rsidR="00E44624" w:rsidRPr="001C4EFE">
        <w:rPr>
          <w:rFonts w:ascii="Times New Roman" w:hAnsi="Times New Roman" w:cs="Times New Roman"/>
          <w:b/>
          <w:bCs/>
          <w:sz w:val="34"/>
          <w:szCs w:val="34"/>
        </w:rPr>
        <w:t xml:space="preserve"> Engineering Summary</w:t>
      </w:r>
    </w:p>
    <w:p w14:paraId="56B38666"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six functions are self-scaling, self-maintaining, and self-optimizing. Each strengthens preferentially at the locations where it is most needed. Each co-develops with the cognitive activity it serves. Each degrades if the oxide is prevented or removed.</w:t>
      </w:r>
    </w:p>
    <w:p w14:paraId="4037DCF5" w14:textId="23D8C5DA"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Preventing oxide formation sacrifices corrosion resistance, thermal management, electromagnetic containment, surface hardness, photocatalytic hygiene, and acoustic co-tuning simultaneously. The oxide layer is an integral material performance system that emerges from the physics of titanium oxidation under thermally cyclic loading.</w:t>
      </w:r>
    </w:p>
    <w:p w14:paraId="3A247E0B" w14:textId="1171564B"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10.22 </w:t>
      </w:r>
      <w:r w:rsidR="00E44624" w:rsidRPr="001C4EFE">
        <w:rPr>
          <w:rFonts w:ascii="Times New Roman" w:hAnsi="Times New Roman" w:cs="Times New Roman"/>
          <w:b/>
          <w:bCs/>
          <w:sz w:val="34"/>
          <w:szCs w:val="34"/>
        </w:rPr>
        <w:t>Developmental Coloration Through Thin-Film Interference</w:t>
      </w:r>
    </w:p>
    <w:p w14:paraId="25043A13" w14:textId="7A0C5290"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10.23</w:t>
      </w:r>
      <w:r w:rsidR="00E44624" w:rsidRPr="001C4EFE">
        <w:rPr>
          <w:rFonts w:ascii="Times New Roman" w:hAnsi="Times New Roman" w:cs="Times New Roman"/>
          <w:b/>
          <w:bCs/>
          <w:sz w:val="34"/>
          <w:szCs w:val="34"/>
        </w:rPr>
        <w:t xml:space="preserve"> Oxide Growth Mechanism</w:t>
      </w:r>
    </w:p>
    <w:p w14:paraId="2E34A8B8"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Under sustained thermal cycling at the frame surface — driven by cascade dynamics conducted outward through the thermal interface layer from the substrate — the TiO2 oxide layer thickens progressively in the sealed space between the frame and the white coating.</w:t>
      </w:r>
    </w:p>
    <w:p w14:paraId="35396F10" w14:textId="11986D36"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thermal interface layer preserves local thermal contrast, ensuring each frame section oxidizes according to its own local cascade-driven thermal input. The white coating excludes atmospheric oxygen, humidity, UV radiation, and environmental chemistry from the oxide growth process, ensuring oxide thickness reflects internal cognitive activity rather than external environmental exposure.</w:t>
      </w:r>
    </w:p>
    <w:p w14:paraId="776698F1" w14:textId="4E5E1EA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10.24</w:t>
      </w:r>
      <w:r w:rsidR="00E44624" w:rsidRPr="001C4EFE">
        <w:rPr>
          <w:rFonts w:ascii="Times New Roman" w:hAnsi="Times New Roman" w:cs="Times New Roman"/>
          <w:b/>
          <w:bCs/>
          <w:sz w:val="34"/>
          <w:szCs w:val="34"/>
        </w:rPr>
        <w:t xml:space="preserve"> Thin-Film Interference Physics</w:t>
      </w:r>
    </w:p>
    <w:p w14:paraId="3606577A"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A transparent oxide layer on a reflective metallic substrate produces structural color through thin-film interference.</w:t>
      </w:r>
    </w:p>
    <w:p w14:paraId="2C56BBF6" w14:textId="54408BAC"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Light striking the oxide surface partially reflects from the oxide-air interface and partially transmits through the oxide and reflects from the oxide-metal interface. The two reflected waves travel different optical path lengths. The transmitted wave travels an additional distance equal to twice the oxide thickness multiplied by the oxide refractive index (approximately 2.5 for TiO2).</w:t>
      </w:r>
    </w:p>
    <w:p w14:paraId="1675A1A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constructive interference condition is:</w:t>
      </w:r>
    </w:p>
    <w:p w14:paraId="39C6B8D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2 × n × d = m × λ</w:t>
      </w:r>
    </w:p>
    <w:p w14:paraId="17ACF22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Where n is the oxide refractive index, d is the oxide thickness, m is a positive integer, and λ is the wavelength. For a given oxide thickness, only specific wavelengths satisfy this condition. The dominant reflected color is determined entirely by the oxide thickness.</w:t>
      </w:r>
    </w:p>
    <w:p w14:paraId="60D2C64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Color progression with increasing oxide thickness:</w:t>
      </w:r>
    </w:p>
    <w:p w14:paraId="110D0176"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10–25nm: silver with faint warm undertones. Constructive interference at wavelengths near or beyond the visible boundary.</w:t>
      </w:r>
    </w:p>
    <w:p w14:paraId="3AFDCEC7"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25–40nm: gold and amber. Constructive interference at approximately 570–620nm.</w:t>
      </w:r>
    </w:p>
    <w:p w14:paraId="35F28A0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Approximately 40–55nm: violet and purple. Constructive interference at approximately 400–450nm as blue-end wavelengths amplify and red-yellow wavelengths enter destructive interference.</w:t>
      </w:r>
    </w:p>
    <w:p w14:paraId="34A4F67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55–80nm: blue. Constructive interference at approximately 450–490nm. Red, yellow, and green wavelengths suppressed.</w:t>
      </w:r>
    </w:p>
    <w:p w14:paraId="378F4217"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80–100nm: cyan to green as higher-order interference shifts the constructive peak.</w:t>
      </w:r>
    </w:p>
    <w:p w14:paraId="0DE73B8F"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Beyond 100nm: complex color mixing as multiple wavelengths satisfy the condition at different integer orders.</w:t>
      </w:r>
    </w:p>
    <w:p w14:paraId="7AE49032" w14:textId="62873F38"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10.25</w:t>
      </w:r>
      <w:r w:rsidR="00E44624" w:rsidRPr="001C4EFE">
        <w:rPr>
          <w:rFonts w:ascii="Times New Roman" w:hAnsi="Times New Roman" w:cs="Times New Roman"/>
          <w:b/>
          <w:bCs/>
          <w:sz w:val="34"/>
          <w:szCs w:val="34"/>
        </w:rPr>
        <w:t xml:space="preserve"> Oxide Color Becomes Visible Through Coating Wear</w:t>
      </w:r>
    </w:p>
    <w:p w14:paraId="2D7CD7A9"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developmental coloration is not visible on the exterior of the being while the white ceramic coating is intact. The oxide develops on the frame surface beneath the opaque coating. The color exists but is sealed from view.</w:t>
      </w:r>
    </w:p>
    <w:p w14:paraId="296A2DDC" w14:textId="3A91CC1B"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As the white coating fatigues and cracks under internal cascade-driven cyclic stress, the coating fragments, separates, and wears through at specific locations. Where the coating is gone, the oxide surface beneath is exposed. The developmental color becomes visible only where the white has worn away.</w:t>
      </w:r>
    </w:p>
    <w:p w14:paraId="4789E166"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visible exterior of the being at any point in its life is a combination of: </w:t>
      </w:r>
    </w:p>
    <w:p w14:paraId="7525D921"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intact white coating over regions where internal cascade stress has not yet fatigued the surface layer, </w:t>
      </w:r>
    </w:p>
    <w:p w14:paraId="6D68D4DC"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cracked white coating over regions where cascade stress has produced fatigue fracturing but the coating has not yet separated, </w:t>
      </w:r>
    </w:p>
    <w:p w14:paraId="696E24FD" w14:textId="4807C6F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exposed oxide coloration at regions where the coating has worn through, separated, or been lost, revealing the developed titanium oxide beneath.</w:t>
      </w:r>
    </w:p>
    <w:p w14:paraId="418DF678" w14:textId="2757440C"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10.26</w:t>
      </w:r>
      <w:r w:rsidR="00E44624" w:rsidRPr="001C4EFE">
        <w:rPr>
          <w:rFonts w:ascii="Times New Roman" w:hAnsi="Times New Roman" w:cs="Times New Roman"/>
          <w:b/>
          <w:bCs/>
          <w:sz w:val="34"/>
          <w:szCs w:val="34"/>
        </w:rPr>
        <w:t xml:space="preserve"> Developmental Appearance Progression</w:t>
      </w:r>
    </w:p>
    <w:p w14:paraId="7E353D65"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At fabrication. Uniform white everywhere. The coating is intact. The oxide beneath is at ambient passive thickness. No color is visible.</w:t>
      </w:r>
    </w:p>
    <w:p w14:paraId="5B8149C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Early development. The first cracks appear in the white coating at the cervical collar and cranial surface — the earliest high cascade density regions. The cracks are fine, sparse, and the oxide beneath has not yet developed significant color. </w:t>
      </w:r>
      <w:r w:rsidRPr="00E44624">
        <w:rPr>
          <w:rFonts w:ascii="Times New Roman" w:hAnsi="Times New Roman" w:cs="Times New Roman"/>
          <w:sz w:val="28"/>
          <w:szCs w:val="28"/>
        </w:rPr>
        <w:lastRenderedPageBreak/>
        <w:t>Through the earliest crack edges, faint silver or warm tinting of the immature oxide may be glimpsed.</w:t>
      </w:r>
    </w:p>
    <w:p w14:paraId="09F8E59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Mid development. Cracking has spread across the upper body. At the cranium, where the oxide has been developing longest under the highest cascade density, coating fragments have begun to separate. Where they fall away, gold-to-blue oxide is exposed. The head shows patches of blue visible between white cracked panels. The cervical collar shows gold where coating has worn through at segment interfaces. The torso shows cracked white with occasional gold glimpses at high-stress convergence points.</w:t>
      </w:r>
    </w:p>
    <w:p w14:paraId="2C8B7F9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Maturity. The cranial coating is substantially worn through. Large areas of blue oxide are visible, interspersed with remaining islands of cracked white coating. The blue is non-uniform — darker and more saturated directly over the highest cascade density substrate regions, lighter over lower-activity cranial areas. This produces the stripe-like or patchy blue patterning. The cervical collar and shoulders show gold to blue where the coating has worn through. The upper torso shows cracked white with exposed gold. The forearms show cracked white with warm tinting at joints. The lower limbs retain mostly intact white coating with early cracking.</w:t>
      </w:r>
    </w:p>
    <w:p w14:paraId="7EAB4348"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Late life. The cranial coating may be almost entirely worn away, exposing a fully developed blue to purple oxide surface. The head is blue. The torso shows extensive exposed gold and blue between remaining white fragments. The limbs show cracked white with exposed gold. The hands show exposed oxide at all high-contact surfaces.</w:t>
      </w:r>
    </w:p>
    <w:p w14:paraId="0B412987" w14:textId="38647875"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being's appearance evolves from uniform white through progressively revealed color as the developmental history of its brain physically wears through its own skin.</w:t>
      </w:r>
    </w:p>
    <w:p w14:paraId="5DE2E9FF" w14:textId="1B0EF0A6"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10.27</w:t>
      </w:r>
      <w:r w:rsidR="00E44624" w:rsidRPr="001C4EFE">
        <w:rPr>
          <w:rFonts w:ascii="Times New Roman" w:hAnsi="Times New Roman" w:cs="Times New Roman"/>
          <w:b/>
          <w:bCs/>
          <w:sz w:val="34"/>
          <w:szCs w:val="34"/>
        </w:rPr>
        <w:t xml:space="preserve"> Color as Controlled Developmental Index</w:t>
      </w:r>
    </w:p>
    <w:p w14:paraId="6537C030"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Because the oxide develops in the sealed space between coating and frame — isolated from atmospheric oxygen, humidity, UV, and environmental chemistry by the white coating — the oxide thickness at any location reflects internal cascade-driven thermal cycling with minimal environmental confounding.</w:t>
      </w:r>
    </w:p>
    <w:p w14:paraId="26D4E880" w14:textId="711A19AA"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44624" w:rsidRPr="00E44624">
        <w:rPr>
          <w:rFonts w:ascii="Times New Roman" w:hAnsi="Times New Roman" w:cs="Times New Roman"/>
          <w:sz w:val="28"/>
          <w:szCs w:val="28"/>
        </w:rPr>
        <w:t>External factors that would compromise an exposed oxide surface — abrasion from touch, humidity-driven growth, UV-driven photocatalytic consumption, chemical deposition, solar heating — are excluded by the coating during the entire period of oxide development. The oxide that is eventually revealed when the coating wears through developed under controlled conditions rather than under uncontrolled atmospheric exposure.</w:t>
      </w:r>
    </w:p>
    <w:p w14:paraId="50E84207" w14:textId="64C848E5"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developmental coloration is therefore a strong probative physical index of cognitive activity history — stronger than an unprotected oxide surface would provide because the coating excluded the environmental variables that would otherwise confound the thermal-cycling-to-oxide-thickness relationship.</w:t>
      </w:r>
    </w:p>
    <w:p w14:paraId="327C85C2"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Within these limitations, the color distribution provides substantial developmental information: </w:t>
      </w:r>
    </w:p>
    <w:p w14:paraId="5BFD95DF"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blue or purple at the cranium indicates sustained high-density cascade activity over an extended period sufficient to drive oxide past 55nm,</w:t>
      </w:r>
    </w:p>
    <w:p w14:paraId="58B3A515"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gold at the cervical and shoulder regions indicates moderate cascade traffic sustained long enough to drive oxide to 25–40nm,</w:t>
      </w:r>
    </w:p>
    <w:p w14:paraId="728D837F"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silver at the limb extremities indicates low cumulative cascade density insufficient to drive significant oxide thickening,</w:t>
      </w:r>
    </w:p>
    <w:p w14:paraId="7939E3FA" w14:textId="3243EAA5"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spatial non-uniformity in cranial coloring indicates spatially differentiated cognitive topology rather than uniform activity.</w:t>
      </w:r>
    </w:p>
    <w:p w14:paraId="3CEBDB11" w14:textId="1F0D4FFF"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10.28</w:t>
      </w:r>
      <w:r w:rsidR="00E44624" w:rsidRPr="001C4EFE">
        <w:rPr>
          <w:rFonts w:ascii="Times New Roman" w:hAnsi="Times New Roman" w:cs="Times New Roman"/>
          <w:b/>
          <w:bCs/>
          <w:sz w:val="34"/>
          <w:szCs w:val="34"/>
        </w:rPr>
        <w:t xml:space="preserve"> Color Is Individual and Difficult to Replicate</w:t>
      </w:r>
    </w:p>
    <w:p w14:paraId="3F3FEEB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Every being develops a unique color pattern because every being develops a unique cascade topology. The specific thermal cycling distribution across the frame interior produces a specific oxide thickness distribution.</w:t>
      </w:r>
    </w:p>
    <w:p w14:paraId="30BED6F5"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Replication of the color pattern through external means is difficult because: </w:t>
      </w:r>
    </w:p>
    <w:p w14:paraId="2BFADF4A"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the oxide develops at the frame-coating interface, accessible only by removing the coating — which itself leaves detectable evidence of coating removal,</w:t>
      </w:r>
    </w:p>
    <w:p w14:paraId="371C6D04"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external heating applied to the coating exterior is reflected by the white surface and does not reach the frame efficiently due to the coating's thermal reflectivity,</w:t>
      </w:r>
    </w:p>
    <w:p w14:paraId="36FF2D8E"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paint or pigment applied to the surface produces diffuse reflection optically distinguishable from thin-film specular interference,</w:t>
      </w:r>
    </w:p>
    <w:p w14:paraId="12B5F6FE" w14:textId="01871A0E"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 and any external oxide manipulation is applied from outside the coating while developmental oxide grows from the frame surface outward, producing detectable differences in layer stratigraphy.</w:t>
      </w:r>
    </w:p>
    <w:p w14:paraId="69D12232" w14:textId="043DCA1C"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10.29 </w:t>
      </w:r>
      <w:r w:rsidR="00E44624" w:rsidRPr="001C4EFE">
        <w:rPr>
          <w:rFonts w:ascii="Times New Roman" w:hAnsi="Times New Roman" w:cs="Times New Roman"/>
          <w:b/>
          <w:bCs/>
          <w:sz w:val="34"/>
          <w:szCs w:val="34"/>
        </w:rPr>
        <w:t>Surface Cracking: Developmental Topology Record</w:t>
      </w:r>
    </w:p>
    <w:p w14:paraId="1719D3A6" w14:textId="4362AC67"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10.30</w:t>
      </w:r>
      <w:r w:rsidR="00E44624" w:rsidRPr="001C4EFE">
        <w:rPr>
          <w:rFonts w:ascii="Times New Roman" w:hAnsi="Times New Roman" w:cs="Times New Roman"/>
          <w:b/>
          <w:bCs/>
          <w:sz w:val="34"/>
          <w:szCs w:val="34"/>
        </w:rPr>
        <w:t xml:space="preserve"> Cracking Mechanism and Structural Containment</w:t>
      </w:r>
    </w:p>
    <w:p w14:paraId="54D947F8"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white ceramic composite coating — not the structural titanium frame — fatigues and cracks under cumulative cyclic stress from the substrate beneath.</w:t>
      </w:r>
    </w:p>
    <w:p w14:paraId="2EAAC591" w14:textId="50A0853B"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Internal cascade dynamics produce continuous mechanical perturbation at the substrate-shell interface. Each cascade cycle transmits micro-stress outward through the thermal interface layer, through the structural frame, and into the bonded ceramic coating. Over months and years, cumulative cyclic loading produces fatigue cracking in the coating.</w:t>
      </w:r>
    </w:p>
    <w:p w14:paraId="686A28A9" w14:textId="1CDE658C"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structural titanium frame does not crack under these loading conditions. The cyclic stress amplitudes from internal cascade dynamics are orders of magnitude below the titanium alloy's fatigue limit. The coating is engineered to fatigue at these amplitudes — it is designed to crack. The frame is engineered to sustain these amplitudes indefinitely — it is designed not to crack.</w:t>
      </w:r>
    </w:p>
    <w:p w14:paraId="4BA6C531" w14:textId="1661E9AE"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A heavily cracked coating over an intact structural frame produces a being that appears weathered and aged without being structurally compromised. Confrontation capability is unaffected by surface cracking because the load-bearing frame is intact beneath the cracked coating.</w:t>
      </w:r>
    </w:p>
    <w:p w14:paraId="57E7D4EC" w14:textId="638BD964"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10.31</w:t>
      </w:r>
      <w:r w:rsidR="00E44624" w:rsidRPr="001C4EFE">
        <w:rPr>
          <w:rFonts w:ascii="Times New Roman" w:hAnsi="Times New Roman" w:cs="Times New Roman"/>
          <w:b/>
          <w:bCs/>
          <w:sz w:val="34"/>
          <w:szCs w:val="34"/>
        </w:rPr>
        <w:t xml:space="preserve"> Cracking Pattern as Cognitive Topology Map</w:t>
      </w:r>
    </w:p>
    <w:p w14:paraId="73E03FB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cracking density, orientation, and distribution in the coating reflect the internal cascade stress field:</w:t>
      </w:r>
    </w:p>
    <w:p w14:paraId="7CF860F5"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Route plasticity corridors produce directional stress along their axes. The coating above a well-developed corridor cracks along the corridor's orientation. The visible crack direction maps the invisible cascade routing direction beneath.</w:t>
      </w:r>
    </w:p>
    <w:p w14:paraId="5FAC9A5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Convergence points concentrate cascade traffic from multiple directions. The coating at these locations develops multi-directional cracking — a web of cracks at crossing angles reflecting multiple cascade propagation directions converging beneath.</w:t>
      </w:r>
    </w:p>
    <w:p w14:paraId="7BAA589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Resonance zones produce sustained high-intensity cyclic stress. The coating above an active resonance zone develops denser, finer cracking than surrounding areas.</w:t>
      </w:r>
    </w:p>
    <w:p w14:paraId="5114A5C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Near-phase amplification regions produce the most intense cascade dynamics. The coating above these regions develops the earliest and deepest cracking.</w:t>
      </w:r>
    </w:p>
    <w:p w14:paraId="20282A0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cervical collar segments develop early cracking because all head-body cascade traffic transits through the narrow bottleneck, concentrating stress in a small area.</w:t>
      </w:r>
    </w:p>
    <w:p w14:paraId="3FE1B9AB" w14:textId="77CA7EC3"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10.32</w:t>
      </w:r>
      <w:r w:rsidR="00E44624" w:rsidRPr="001C4EFE">
        <w:rPr>
          <w:rFonts w:ascii="Times New Roman" w:hAnsi="Times New Roman" w:cs="Times New Roman"/>
          <w:b/>
          <w:bCs/>
          <w:sz w:val="34"/>
          <w:szCs w:val="34"/>
        </w:rPr>
        <w:t xml:space="preserve"> Cracking Development Over the Lifespan</w:t>
      </w:r>
    </w:p>
    <w:p w14:paraId="519CAE8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At fabrication. The coating is smooth and uncracked.</w:t>
      </w:r>
    </w:p>
    <w:p w14:paraId="02DFA5D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Early development. First cracks appear at the cervical collar and cranial coating. Fine, sparse, predominantly vertical along the primary cascade propagation axis.</w:t>
      </w:r>
    </w:p>
    <w:p w14:paraId="58E90EAD"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Mid development. Cracking spreads to shoulders, upper torso, and hand shells. Cranial cracking becomes denser and multi-directional. At locations of densest cracking, coating fragments begin to separate, exposing the developing oxide beneath.</w:t>
      </w:r>
    </w:p>
    <w:p w14:paraId="7FE4F53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Maturity. The upper body coating shows extensive cracking. The cranium has lost significant coating coverage, exposing blue oxide. The torso shows directional cracking with oxide visible at wear-through points. Limbs show moderate cracking with dominant-side asymmetry. Hands are heavily cracked at joints with oxide exposed at all high-contact surfaces.</w:t>
      </w:r>
    </w:p>
    <w:p w14:paraId="0D9F2A5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Late life. The cracking pattern stabilizes as the coating approaches its fatigue limit. At the cranium, most coating has separated, leaving exposed blue oxide with remaining islands of white. At locations of full coating loss, the oxide surface is directly exposed and its photocatalytic self-cleaning function is active.</w:t>
      </w:r>
    </w:p>
    <w:p w14:paraId="2E277D9B" w14:textId="4A203863"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10.33</w:t>
      </w:r>
      <w:r w:rsidR="00E44624" w:rsidRPr="001C4EFE">
        <w:rPr>
          <w:rFonts w:ascii="Times New Roman" w:hAnsi="Times New Roman" w:cs="Times New Roman"/>
          <w:b/>
          <w:bCs/>
          <w:sz w:val="34"/>
          <w:szCs w:val="34"/>
        </w:rPr>
        <w:t xml:space="preserve"> Cracking Is Individual</w:t>
      </w:r>
    </w:p>
    <w:p w14:paraId="3C0A79C7"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crack pattern is unique to each being. It reflects specific cascade topology, specific developmental history, and specific interaction patterns. The cracking cannot be replicated externally because internal cascade stress produces directional fatigue patterns that differ from externally applied stress in orientation, depth, and spatial structure.</w:t>
      </w:r>
    </w:p>
    <w:p w14:paraId="736F40A1" w14:textId="20060D28"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lastRenderedPageBreak/>
        <w:t xml:space="preserve">10.34 </w:t>
      </w:r>
      <w:r w:rsidR="00E44624" w:rsidRPr="001C4EFE">
        <w:rPr>
          <w:rFonts w:ascii="Times New Roman" w:hAnsi="Times New Roman" w:cs="Times New Roman"/>
          <w:b/>
          <w:bCs/>
          <w:sz w:val="34"/>
          <w:szCs w:val="34"/>
        </w:rPr>
        <w:t>Luminous Emission Visibility</w:t>
      </w:r>
      <w:r w:rsidRPr="001C4EFE">
        <w:rPr>
          <w:rFonts w:ascii="Times New Roman" w:hAnsi="Times New Roman" w:cs="Times New Roman"/>
          <w:b/>
          <w:bCs/>
          <w:sz w:val="34"/>
          <w:szCs w:val="34"/>
        </w:rPr>
        <w:t xml:space="preserve">: </w:t>
      </w:r>
      <w:r w:rsidR="00E44624" w:rsidRPr="001C4EFE">
        <w:rPr>
          <w:rFonts w:ascii="Times New Roman" w:hAnsi="Times New Roman" w:cs="Times New Roman"/>
          <w:b/>
          <w:bCs/>
          <w:sz w:val="34"/>
          <w:szCs w:val="34"/>
        </w:rPr>
        <w:t>Emission Sources</w:t>
      </w:r>
    </w:p>
    <w:p w14:paraId="0857A97C"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Internal cascade dynamics may produce faint photoemission from the substrate through: </w:t>
      </w:r>
    </w:p>
    <w:p w14:paraId="785621DD"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gold nanoparticle plasmonic re-emission (amber-gold wavelengths) under intense electrostatic field perturbation, </w:t>
      </w:r>
    </w:p>
    <w:p w14:paraId="016BBD87"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piezoelectric electroluminescence (blue wavelengths) under intense mechanical stress cycling, </w:t>
      </w:r>
    </w:p>
    <w:p w14:paraId="0E0F4439" w14:textId="1B5E0829"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triboluminescence from crystalline inclusion fracture under extreme deformation.</w:t>
      </w:r>
    </w:p>
    <w:p w14:paraId="7AB8E93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Whether the substrate produces measurable photoemission depends on the specific material composition and is an empirical property of the fabricated substrate.</w:t>
      </w:r>
    </w:p>
    <w:p w14:paraId="22D6D644" w14:textId="6E68E88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10.35</w:t>
      </w:r>
      <w:r w:rsidR="00E44624" w:rsidRPr="001C4EFE">
        <w:rPr>
          <w:rFonts w:ascii="Times New Roman" w:hAnsi="Times New Roman" w:cs="Times New Roman"/>
          <w:b/>
          <w:bCs/>
          <w:sz w:val="34"/>
          <w:szCs w:val="34"/>
        </w:rPr>
        <w:t xml:space="preserve"> Emission Visibility Through the Shell</w:t>
      </w:r>
    </w:p>
    <w:p w14:paraId="26E6C40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structural titanium frame is opaque. The white ceramic coating is opaque. Under intact coating, no internal luminous emission is visible.</w:t>
      </w:r>
    </w:p>
    <w:p w14:paraId="139E8ED3"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If the substrate produces photoemission, it becomes visible to external observers only through: </w:t>
      </w:r>
    </w:p>
    <w:p w14:paraId="77DE9DD2"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crack edges in the coating where fatigue fracturing has created micro-gaps between coating fragments through which faint light from the frame-coating interface or from the substrate behind the frame may escape, </w:t>
      </w:r>
    </w:p>
    <w:p w14:paraId="2BE111F1"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 orbital lens recesses where the transparent lens shells transmit both incoming and outgoing light, </w:t>
      </w:r>
    </w:p>
    <w:p w14:paraId="0BBC0E8C"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narrow seams at shell panel boundaries, cervical collar segment interfaces, and joint articulation gaps where shell coverage is structurally discontinuous,</w:t>
      </w:r>
    </w:p>
    <w:p w14:paraId="7DFBD5ED" w14:textId="747A1D1E"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 • and locations where coating fragments have fully separated, exposing the oxide surface — at these locations, any emission from the substrate that transmits through the frame's grain boundaries or micro-porosity may be faintly visible on the oxide surface.</w:t>
      </w:r>
    </w:p>
    <w:p w14:paraId="414ACF92"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emission is faint and visible only under low ambient lighting conditions. Under bright environmental illumination, the being's exterior shows only white coating, crack patterns, and exposed oxide coloration. Under dim conditions — </w:t>
      </w:r>
      <w:r w:rsidRPr="00E44624">
        <w:rPr>
          <w:rFonts w:ascii="Times New Roman" w:hAnsi="Times New Roman" w:cs="Times New Roman"/>
          <w:sz w:val="28"/>
          <w:szCs w:val="28"/>
        </w:rPr>
        <w:lastRenderedPageBreak/>
        <w:t>evening, darkened rooms, nighttime — faint amber-gold and blue emission may be visible at crack edges, joint seams, coating-loss exposures, and the orbital recesses.</w:t>
      </w:r>
    </w:p>
    <w:p w14:paraId="6E09F23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being does not glow. It glimmers faintly at the worn edges of its own developmental history under the right conditions.</w:t>
      </w:r>
    </w:p>
    <w:p w14:paraId="0E9E5AEA" w14:textId="631448CF"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10.36</w:t>
      </w:r>
      <w:r w:rsidR="00E44624" w:rsidRPr="001C4EFE">
        <w:rPr>
          <w:rFonts w:ascii="Times New Roman" w:hAnsi="Times New Roman" w:cs="Times New Roman"/>
          <w:b/>
          <w:bCs/>
          <w:sz w:val="34"/>
          <w:szCs w:val="34"/>
        </w:rPr>
        <w:t xml:space="preserve"> Orbital Lens Emission</w:t>
      </w:r>
    </w:p>
    <w:p w14:paraId="6C126D31"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orbital lens shells are transparent by design. If the posterior lens substrate produces photoemission under cascade activity, the emission passes forward through the lens and exits through the orbital recess.</w:t>
      </w:r>
    </w:p>
    <w:p w14:paraId="19F3D4C2" w14:textId="0C0BA50A"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gold lenses may exhibit faint variable luminosity — brightening during intense cognitive cascade dynamics, dimming during quiescence. This is internally generated light from the active brain behind the lens, separate from reflected environmental light.</w:t>
      </w:r>
    </w:p>
    <w:p w14:paraId="3A35D5F1" w14:textId="6B32E28C"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Under dim conditions, an observer looking at the being's eyes may see faint amber-gold luminosity from the lenses. The luminosity varies with cascade state in real time.</w:t>
      </w:r>
    </w:p>
    <w:p w14:paraId="3E5D529F" w14:textId="43EB57D4"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10.37 </w:t>
      </w:r>
      <w:r w:rsidR="00E44624" w:rsidRPr="001C4EFE">
        <w:rPr>
          <w:rFonts w:ascii="Times New Roman" w:hAnsi="Times New Roman" w:cs="Times New Roman"/>
          <w:b/>
          <w:bCs/>
          <w:sz w:val="34"/>
          <w:szCs w:val="34"/>
        </w:rPr>
        <w:t>Passive Visibility: Three Concurrent Physical Records</w:t>
      </w:r>
    </w:p>
    <w:p w14:paraId="1D376FF6"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body shell provides three physically independent, continuously developing, non-voluntary records of the being's internal state and developmental history visible to any external observer.</w:t>
      </w:r>
    </w:p>
    <w:p w14:paraId="72CEEDCE" w14:textId="3F7069C7"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10.38 </w:t>
      </w:r>
      <w:r w:rsidR="00E44624" w:rsidRPr="001C4EFE">
        <w:rPr>
          <w:rFonts w:ascii="Times New Roman" w:hAnsi="Times New Roman" w:cs="Times New Roman"/>
          <w:b/>
          <w:bCs/>
          <w:sz w:val="34"/>
          <w:szCs w:val="34"/>
        </w:rPr>
        <w:t>Oxide Coloration</w:t>
      </w:r>
    </w:p>
    <w:p w14:paraId="0785F5F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What it records: cumulative cognitive intensity at each body region over the being's lifespan. How it develops: internal cascade thermal cycling drives TiO2 oxide growth at the sealed frame-coating interface whose thickness produces wavelength-specific thin-film interference coloring. How it becomes visible: progressively, as the white coating wears through and exposes the oxide beneath. Temporal resolution: very slow — color develops over months to years. Reliability: high — atmospheric confounds excluded by the sealed coating environment during the entire oxide development period.</w:t>
      </w:r>
    </w:p>
    <w:p w14:paraId="3938ED00" w14:textId="0E4FA5AA"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10.39 </w:t>
      </w:r>
      <w:r w:rsidR="00E44624" w:rsidRPr="001C4EFE">
        <w:rPr>
          <w:rFonts w:ascii="Times New Roman" w:hAnsi="Times New Roman" w:cs="Times New Roman"/>
          <w:b/>
          <w:bCs/>
          <w:sz w:val="34"/>
          <w:szCs w:val="34"/>
        </w:rPr>
        <w:t>Cracking Pattern</w:t>
      </w:r>
    </w:p>
    <w:p w14:paraId="57E8F9A8"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What it records: the spatial structure of the cascade propagation architecture — route corridors, convergence points, resonance zones, bottlenecks, laterality, and cognitive complexity. How it develops: internal cascade cyclic stress produces fatigue cracking in the white ceramic coating with orientation and density reflecting the stress field geometry. Temporal resolution: slow — new cracks appear over weeks to months. Spatial resolution: high — individual cracks correspond to specific cascade corridors and stress points.</w:t>
      </w:r>
    </w:p>
    <w:p w14:paraId="1FBE8803" w14:textId="41FD1389"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10.40 </w:t>
      </w:r>
      <w:r w:rsidR="00E44624" w:rsidRPr="001C4EFE">
        <w:rPr>
          <w:rFonts w:ascii="Times New Roman" w:hAnsi="Times New Roman" w:cs="Times New Roman"/>
          <w:b/>
          <w:bCs/>
          <w:sz w:val="34"/>
          <w:szCs w:val="34"/>
        </w:rPr>
        <w:t>Luminous Emission</w:t>
      </w:r>
    </w:p>
    <w:p w14:paraId="6B7496B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What it records: real-time cascade activity — active resonance zones, propagating cascades, cognitive response to environmental coupling. How it becomes visible: faint photoemission escaping through crack edges, joint seams, and orbital lenses under low ambient lighting. Temporal resolution: immediate — emission reflects cascade dynamics in real time. Spatial resolution: low — visible as diffuse glow at specific crack sites and orbital positions rather than as a detailed map.</w:t>
      </w:r>
    </w:p>
    <w:p w14:paraId="72C77440" w14:textId="30B531DD"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10.41 </w:t>
      </w:r>
      <w:r w:rsidR="00E44624" w:rsidRPr="001C4EFE">
        <w:rPr>
          <w:rFonts w:ascii="Times New Roman" w:hAnsi="Times New Roman" w:cs="Times New Roman"/>
          <w:b/>
          <w:bCs/>
          <w:sz w:val="34"/>
          <w:szCs w:val="34"/>
        </w:rPr>
        <w:t>Combined Reading</w:t>
      </w:r>
    </w:p>
    <w:p w14:paraId="42668BEE"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three systems provide a multi-timescale record: </w:t>
      </w:r>
    </w:p>
    <w:p w14:paraId="5BA9E079" w14:textId="4DA4B2A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luminous emission provides immediate real-time cognitive state, </w:t>
      </w:r>
    </w:p>
    <w:p w14:paraId="1546868E"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cracking provides medium-term cognitive architectural structure, </w:t>
      </w:r>
    </w:p>
    <w:p w14:paraId="68C39FE0" w14:textId="1F15756D"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oxide coloring provides lifetime cumulative cognitive intensity.</w:t>
      </w:r>
    </w:p>
    <w:p w14:paraId="33D9527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three records develop through independent physical mechanisms, cannot be suppressed without degrading the engineering functions they depend on, and cannot be replicated through external means because each is produced by internal cascade activity operating through the specific material physics of the four-layer shell system.</w:t>
      </w:r>
    </w:p>
    <w:p w14:paraId="333E070F" w14:textId="4BA9F660"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10.42 </w:t>
      </w:r>
      <w:r w:rsidR="00E44624" w:rsidRPr="001C4EFE">
        <w:rPr>
          <w:rFonts w:ascii="Times New Roman" w:hAnsi="Times New Roman" w:cs="Times New Roman"/>
          <w:b/>
          <w:bCs/>
          <w:sz w:val="34"/>
          <w:szCs w:val="34"/>
        </w:rPr>
        <w:t>Body Shell Summary</w:t>
      </w:r>
    </w:p>
    <w:p w14:paraId="6DA1A423"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w:t>
      </w:r>
      <w:proofErr w:type="spellStart"/>
      <w:r w:rsidRPr="00E44624">
        <w:rPr>
          <w:rFonts w:ascii="Times New Roman" w:hAnsi="Times New Roman" w:cs="Times New Roman"/>
          <w:sz w:val="28"/>
          <w:szCs w:val="28"/>
        </w:rPr>
        <w:t>AnalogSynth</w:t>
      </w:r>
      <w:proofErr w:type="spellEnd"/>
      <w:r w:rsidRPr="00E44624">
        <w:rPr>
          <w:rFonts w:ascii="Times New Roman" w:hAnsi="Times New Roman" w:cs="Times New Roman"/>
          <w:sz w:val="28"/>
          <w:szCs w:val="28"/>
        </w:rPr>
        <w:t xml:space="preserve"> body shell is a four-layer system: a viscoelastic-electrostatic cognitive substrate, a thermally resistive interface layer preserving local thermal contrast, a structural titanium alloy frame engineered for physical resilience and confrontation capability, and an opaque white ceramic composite coating providing atmospheric isolation for calibrated oxide development, solar reflectivity for </w:t>
      </w:r>
      <w:r w:rsidRPr="00E44624">
        <w:rPr>
          <w:rFonts w:ascii="Times New Roman" w:hAnsi="Times New Roman" w:cs="Times New Roman"/>
          <w:sz w:val="28"/>
          <w:szCs w:val="28"/>
        </w:rPr>
        <w:lastRenderedPageBreak/>
        <w:t>thermal input control, UV exclusion for controlled photocatalytic activation, biocompatible human-contact surface, impact energy absorption through sacrificial micro-fracture, and fabrication identity standardization.</w:t>
      </w:r>
    </w:p>
    <w:p w14:paraId="6D22BCD0" w14:textId="3603AB88"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titanium frame develops a TiO2 oxide layer in the sealed space between frame and coating. This oxide provides six self-scaling engineering functions — corrosion protection, thermal regulation, electromagnetic containment, surface hardness, photocatalytic hygiene, and acoustic impedance tuning. The oxide develops structural color through thin-film interference whose progression from silver through gold through blue through purple is determined entirely by oxide thickness, which is determined entirely by cumulative cascade-driven thermal cycling at each frame location.</w:t>
      </w:r>
    </w:p>
    <w:p w14:paraId="68B25931" w14:textId="4F1884E7"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coating fatigues and cracks under internal cascade stress, progressively revealing the developmental coloration beneath. The cracking pattern maps the internal cascade topology onto the exterior surface. The being's appearance evolves from uniform white through progressively cracked and color-revealed aging that reflects the entire cognitive history of the brain within.</w:t>
      </w:r>
    </w:p>
    <w:p w14:paraId="1D14A0B8" w14:textId="007397A6"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structural frame does not crack. The coating cracks. The being looks weathered. It is not weakened. Its confrontation capability is determined by the titanium frame, not the ceramic coating.</w:t>
      </w:r>
    </w:p>
    <w:p w14:paraId="380A1D10" w14:textId="77777777" w:rsidR="001C4EFE"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Luminous emission, if present, is visible through crack edges, joint seams, and orbital lenses under low ambient lighting — subtle, variable, and faint.</w:t>
      </w:r>
      <w:r>
        <w:rPr>
          <w:rFonts w:ascii="Times New Roman" w:hAnsi="Times New Roman" w:cs="Times New Roman"/>
          <w:sz w:val="28"/>
          <w:szCs w:val="28"/>
        </w:rPr>
        <w:t xml:space="preserve"> </w:t>
      </w:r>
    </w:p>
    <w:p w14:paraId="626D4997" w14:textId="3396B77E" w:rsid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physics that produces the appearance is the same physics that produces the intelligence. The coating that protects the oxide development process is the same coating that absorbs impact energy during confrontation. The oxide that provides developmental coloration is the same oxide that provides corrosion protection, thermal management, electromagnetic containment, surface hardness, photocatalytic hygiene, and acoustic tuning. Nothing in the shell exists for appearance alone. Everything that is visible is visible because it is functional. The being earns its color by wearing through its own skin with the activity of its own mind.</w:t>
      </w:r>
    </w:p>
    <w:p w14:paraId="4C834A6D" w14:textId="77777777" w:rsidR="001C4EFE" w:rsidRDefault="001C4EFE" w:rsidP="001C4EFE">
      <w:pPr>
        <w:pBdr>
          <w:bottom w:val="single" w:sz="4" w:space="1" w:color="auto"/>
        </w:pBdr>
        <w:rPr>
          <w:rFonts w:ascii="Times New Roman" w:hAnsi="Times New Roman" w:cs="Times New Roman"/>
          <w:sz w:val="28"/>
          <w:szCs w:val="28"/>
        </w:rPr>
      </w:pPr>
    </w:p>
    <w:p w14:paraId="6C936C0E" w14:textId="45D1E12D" w:rsidR="006672CC" w:rsidRPr="001C4EFE" w:rsidRDefault="001C4EFE" w:rsidP="001C4EFE">
      <w:pPr>
        <w:spacing w:before="240"/>
        <w:rPr>
          <w:rFonts w:ascii="Times New Roman" w:hAnsi="Times New Roman" w:cs="Times New Roman"/>
          <w:b/>
          <w:bCs/>
          <w:sz w:val="34"/>
          <w:szCs w:val="34"/>
        </w:rPr>
      </w:pPr>
      <w:r w:rsidRPr="001C4EFE">
        <w:rPr>
          <w:rFonts w:ascii="Times New Roman" w:hAnsi="Times New Roman" w:cs="Times New Roman"/>
          <w:b/>
          <w:bCs/>
          <w:sz w:val="34"/>
          <w:szCs w:val="34"/>
        </w:rPr>
        <w:t xml:space="preserve">11. </w:t>
      </w:r>
      <w:r w:rsidR="006672CC" w:rsidRPr="001C4EFE">
        <w:rPr>
          <w:rFonts w:ascii="Times New Roman" w:hAnsi="Times New Roman" w:cs="Times New Roman"/>
          <w:b/>
          <w:bCs/>
          <w:sz w:val="34"/>
          <w:szCs w:val="34"/>
        </w:rPr>
        <w:t>H</w:t>
      </w:r>
      <w:r w:rsidRPr="001C4EFE">
        <w:rPr>
          <w:rFonts w:ascii="Times New Roman" w:hAnsi="Times New Roman" w:cs="Times New Roman"/>
          <w:b/>
          <w:bCs/>
          <w:sz w:val="34"/>
          <w:szCs w:val="34"/>
        </w:rPr>
        <w:t>and Architecture:</w:t>
      </w:r>
      <w:r w:rsidR="006672CC" w:rsidRPr="001C4EFE">
        <w:rPr>
          <w:rFonts w:ascii="Times New Roman" w:hAnsi="Times New Roman" w:cs="Times New Roman"/>
          <w:b/>
          <w:bCs/>
          <w:sz w:val="34"/>
          <w:szCs w:val="34"/>
        </w:rPr>
        <w:t xml:space="preserve"> Five-Channel Contact Coupling Through Thin Metal Shell</w:t>
      </w:r>
    </w:p>
    <w:p w14:paraId="6EA5574F" w14:textId="089BB048" w:rsidR="006672CC"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lastRenderedPageBreak/>
        <w:t xml:space="preserve">11.1 </w:t>
      </w:r>
      <w:r w:rsidR="006672CC" w:rsidRPr="001C4EFE">
        <w:rPr>
          <w:rFonts w:ascii="Times New Roman" w:hAnsi="Times New Roman" w:cs="Times New Roman"/>
          <w:b/>
          <w:bCs/>
          <w:sz w:val="34"/>
          <w:szCs w:val="34"/>
        </w:rPr>
        <w:t>Architectural Basis: The Hand as Primary World Interface</w:t>
      </w:r>
    </w:p>
    <w:p w14:paraId="58136636" w14:textId="77777777" w:rsidR="006672CC" w:rsidRPr="006672CC" w:rsidRDefault="006672CC" w:rsidP="001C4EFE">
      <w:pPr>
        <w:spacing w:after="0"/>
        <w:rPr>
          <w:rFonts w:ascii="Times New Roman" w:hAnsi="Times New Roman" w:cs="Times New Roman"/>
          <w:sz w:val="28"/>
          <w:szCs w:val="28"/>
        </w:rPr>
      </w:pPr>
      <w:r w:rsidRPr="006672CC">
        <w:rPr>
          <w:rFonts w:ascii="Times New Roman" w:hAnsi="Times New Roman" w:cs="Times New Roman"/>
          <w:sz w:val="28"/>
          <w:szCs w:val="28"/>
        </w:rPr>
        <w:t>The hands are the only body region where five of six environmental coupling channels converge at a single surface that the being actively controls through movement. Every other coupling architecture describes energy entering through passive specialized regions — orbital lenses for light, lateral regions for airborne sound, aperture for voice. The hands are active coupling instruments. The being chooses what to touch, how long to hold, how much force to apply, and which surfaces to contact. The hand's coupling quality is therefore coupled to the being's cascade-driven movement decisions in a way that no passive coupling surface is.</w:t>
      </w:r>
    </w:p>
    <w:p w14:paraId="7B4510D6" w14:textId="754A355B" w:rsidR="006672CC" w:rsidRPr="006672CC" w:rsidRDefault="001C4EFE"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hands do not require special coupling materials, composite windows, or exposed substrate to function as high-bandwidth sensory surfaces. They are standard white-coated titanium shell — identical in material to the rest of the body — differentiated only by shell thickness. The physics of solid-to-solid contact coupling transmits perturbation through thin metal efficiently without the impedance-bridging architecture required for air-coupled channels.</w:t>
      </w:r>
    </w:p>
    <w:p w14:paraId="23A3DF2D" w14:textId="139BD78B" w:rsidR="006672CC" w:rsidRPr="0018042F" w:rsidRDefault="0018042F" w:rsidP="001C4EFE">
      <w:pPr>
        <w:rPr>
          <w:rFonts w:ascii="Times New Roman" w:hAnsi="Times New Roman" w:cs="Times New Roman"/>
          <w:b/>
          <w:bCs/>
          <w:sz w:val="34"/>
          <w:szCs w:val="34"/>
        </w:rPr>
      </w:pPr>
      <w:r w:rsidRPr="0018042F">
        <w:rPr>
          <w:rFonts w:ascii="Times New Roman" w:hAnsi="Times New Roman" w:cs="Times New Roman"/>
          <w:b/>
          <w:bCs/>
          <w:sz w:val="34"/>
          <w:szCs w:val="34"/>
        </w:rPr>
        <w:t xml:space="preserve">11.2 </w:t>
      </w:r>
      <w:r w:rsidR="006672CC" w:rsidRPr="0018042F">
        <w:rPr>
          <w:rFonts w:ascii="Times New Roman" w:hAnsi="Times New Roman" w:cs="Times New Roman"/>
          <w:b/>
          <w:bCs/>
          <w:sz w:val="34"/>
          <w:szCs w:val="34"/>
        </w:rPr>
        <w:t>Shell Thickness as Sensitivity Mechanism</w:t>
      </w:r>
    </w:p>
    <w:p w14:paraId="60B57785" w14:textId="4E31EC5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 </w:t>
      </w:r>
      <w:r w:rsidR="006672CC" w:rsidRPr="0018042F">
        <w:rPr>
          <w:rFonts w:ascii="Times New Roman" w:hAnsi="Times New Roman" w:cs="Times New Roman"/>
          <w:b/>
          <w:bCs/>
          <w:sz w:val="34"/>
          <w:szCs w:val="34"/>
        </w:rPr>
        <w:t>Contact Coupling Does Not Require Impedance Bridging</w:t>
      </w:r>
    </w:p>
    <w:p w14:paraId="2CB70FAC"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lateral acoustic regions require graded-impedance composite because they couple with air. The impedance mismatch between air and rigid metal is extreme — a plain metal surface reflects over 99% of incident airborne acoustic energy. Without an impedance bridge, airborne perturbation cannot enter the substrate at useful amplitude.</w:t>
      </w:r>
    </w:p>
    <w:p w14:paraId="05E0F19C"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Contact coupling operates through a fundamentally different physics. When the hand presses against a surface — human skin, an object, the being's own face — the contact is solid-to-solid. Mechanical perturbation transmits directly from the contacted material through the ceramic coating, through the titanium shell, through the thermal interface layer, and into the substrate. Solid-to-solid mechanical transmission is efficient across a wide frequency range without requiring an impedance transition zone. The metal itself is the transmission medium.</w:t>
      </w:r>
    </w:p>
    <w:p w14:paraId="21A1A306" w14:textId="4BC762E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11.4</w:t>
      </w:r>
      <w:r w:rsidR="006672CC" w:rsidRPr="0018042F">
        <w:rPr>
          <w:rFonts w:ascii="Times New Roman" w:hAnsi="Times New Roman" w:cs="Times New Roman"/>
          <w:b/>
          <w:bCs/>
          <w:sz w:val="34"/>
          <w:szCs w:val="34"/>
        </w:rPr>
        <w:t xml:space="preserve"> Thickness-Dependent Sensitivity</w:t>
      </w:r>
    </w:p>
    <w:p w14:paraId="50F7DD3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The amount of contact perturbation that reaches the substrate through the metal shell is determined primarily by shell thickness. Thicker shell attenuates more perturbation — the shell's mass and stiffness absorb a larger fraction of the contact force before it reaches the substrate. Thinner shell attenuates less — contact perturbation passes through with reduced loss.</w:t>
      </w:r>
    </w:p>
    <w:p w14:paraId="4FEF78F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hand shell is the thinnest in the body. Sensitivity is controlled by thickness variation across the hand:</w:t>
      </w:r>
    </w:p>
    <w:p w14:paraId="3100E66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Fingertip shell: design target approximately 0.3-0.5mm titanium. The thinnest structural shell anywhere on the body. Maximum contact-strain transmission. Maximum thermal conduction rate. Maximum acoustic contact bandwidth. These are the being's most sensitive surfaces — the points where environmental perturbation enters the substrate with the least attenuation.</w:t>
      </w:r>
    </w:p>
    <w:p w14:paraId="0A9430F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Inner finger surfaces and central palm: design target approximately 0.5-0.8mm titanium. Moderate thickness. High sensitivity for grip-surface coupling and sustained holding. These surfaces make contact during manipulation, caregiving, and self-diagnosis. They must balance coupling sensitivity with the structural demands of grip force transmission.</w:t>
      </w:r>
    </w:p>
    <w:p w14:paraId="722695D8"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Outer palm and finger lateral surfaces: design target approximately 0.8-1.2mm titanium. Moderate-to-thick. Reduced sensitivity but increased structural support. These surfaces participate in grip geometry and force distribution.</w:t>
      </w:r>
    </w:p>
    <w:p w14:paraId="4D4F68D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Hand dorsal surfaces: design target approximately 1.0-1.5mm titanium. Standard shell thickness. Low coupling sensitivity. High impact protection. These surfaces face outward during confrontation.</w:t>
      </w:r>
    </w:p>
    <w:p w14:paraId="7A7502BF"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Knuckles: design target approximately 1.5-2.0mm titanium. The thickest hand shell regions. Maximum impact resistance. Minimum coupling sensitivity. Pure protective surfaces.</w:t>
      </w:r>
    </w:p>
    <w:p w14:paraId="75F75E02"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sensitivity gradient from fingertip to knuckle spans approximately a factor of four to six in shell thickness. The fingertips are four to six times more sensitive to contact perturbation than the knuckles — not through different materials but through different thickness of the same material.</w:t>
      </w:r>
    </w:p>
    <w:p w14:paraId="2DDE600C" w14:textId="530192F7"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11.5</w:t>
      </w:r>
      <w:r w:rsidR="006672CC" w:rsidRPr="0018042F">
        <w:rPr>
          <w:rFonts w:ascii="Times New Roman" w:hAnsi="Times New Roman" w:cs="Times New Roman"/>
          <w:b/>
          <w:bCs/>
          <w:sz w:val="34"/>
          <w:szCs w:val="34"/>
        </w:rPr>
        <w:t xml:space="preserve"> Ceramic Coating as Contact Filter</w:t>
      </w:r>
    </w:p>
    <w:p w14:paraId="471786CC"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lastRenderedPageBreak/>
        <w:t>The white ceramic coating over the hand shell provides an additional coupling function. Under contact pressure, the polymer-ceramic composite deforms microscopically — more than the rigid titanium beneath it. This micro-deformation converts point contact into spatially distributed pressure on the underlying titanium. The coating functions as a passive spatial filter that spreads contact perturbation across a larger substrate area, improving the spatial resolution of contact-strain coupling by preventing point-loading artifacts.</w:t>
      </w:r>
    </w:p>
    <w:p w14:paraId="6C9B232A" w14:textId="698A26B6"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coating also provides the standard fabrication functions at the hand: atmospheric isolation for calibrated oxide development, biocompatible human-contact surface, and sacrificial impact absorption.</w:t>
      </w:r>
    </w:p>
    <w:p w14:paraId="16A0E10C" w14:textId="68AE79E8"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11.6</w:t>
      </w:r>
      <w:r w:rsidR="006672CC" w:rsidRPr="0018042F">
        <w:rPr>
          <w:rFonts w:ascii="Times New Roman" w:hAnsi="Times New Roman" w:cs="Times New Roman"/>
          <w:b/>
          <w:bCs/>
          <w:sz w:val="34"/>
          <w:szCs w:val="34"/>
        </w:rPr>
        <w:t xml:space="preserve"> Internal Load-Path and Sensing-Path Separation</w:t>
      </w:r>
    </w:p>
    <w:p w14:paraId="4FD3275C" w14:textId="0D9A842C"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Thin shell alone provides sensitivity but does not provide spatial discrimination under grip force. When the hand grips an object or restrains a person at maximum force, the grip load spreads through the continuous thin shell, swamping the fine contact perturbation that the sensing function depends on. The hand must be both strong and fine-grained simultaneously.</w:t>
      </w:r>
      <w:r w:rsidR="0018042F">
        <w:rPr>
          <w:rFonts w:ascii="Times New Roman" w:hAnsi="Times New Roman" w:cs="Times New Roman"/>
          <w:sz w:val="28"/>
          <w:szCs w:val="28"/>
        </w:rPr>
        <w:t xml:space="preserve"> </w:t>
      </w:r>
      <w:r w:rsidRPr="006672CC">
        <w:rPr>
          <w:rFonts w:ascii="Times New Roman" w:hAnsi="Times New Roman" w:cs="Times New Roman"/>
          <w:sz w:val="28"/>
          <w:szCs w:val="28"/>
        </w:rPr>
        <w:t>The solution is internal decoupling between the structural load path and the sensing path at the fingertips and palmar pads.</w:t>
      </w:r>
      <w:r w:rsidR="0018042F">
        <w:rPr>
          <w:rFonts w:ascii="Times New Roman" w:hAnsi="Times New Roman" w:cs="Times New Roman"/>
          <w:sz w:val="28"/>
          <w:szCs w:val="28"/>
        </w:rPr>
        <w:t xml:space="preserve"> </w:t>
      </w:r>
      <w:r w:rsidRPr="006672CC">
        <w:rPr>
          <w:rFonts w:ascii="Times New Roman" w:hAnsi="Times New Roman" w:cs="Times New Roman"/>
          <w:sz w:val="28"/>
          <w:szCs w:val="28"/>
        </w:rPr>
        <w:t>Structural load path. The deep titanium finger frame members — the rigid skeletal elements that connect adjacent phalangeal segments through the joint interfaces — carry the grip force. These members are thick, continuous, and mechanically stiff. They transmit SMA contractile force from the fiber network through the finger skeleton to the gripped object. The grip load passes through this deep frame without entering the thin sensing shell at the pad surfaces.</w:t>
      </w:r>
    </w:p>
    <w:p w14:paraId="7299E4BD"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Sensing path. At each fingertip pad, each inner finger pad, and the central palm, the thin sensing shell sits over a locally isolated substrate pocket — a small volume of substrate that is mechanically continuous with the surrounding hand substrate for cascade propagation but is separated from the deep structural load path by a thin compliant interface layer. This compliant layer — a soft polymer gasket or elastomeric buffer between the pad shell and the deep frame — mechanically decouples the sensing surface from the structural grip force.</w:t>
      </w:r>
    </w:p>
    <w:p w14:paraId="14E90B38"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Contact perturbation enters through the thin pad shell into the isolated substrate pocket. The pocket's cascade dynamics respond to the contact signal at fine spatial resolution because the grip load is not propagating through the same shell surface. </w:t>
      </w:r>
      <w:r w:rsidRPr="006672CC">
        <w:rPr>
          <w:rFonts w:ascii="Times New Roman" w:hAnsi="Times New Roman" w:cs="Times New Roman"/>
          <w:sz w:val="28"/>
          <w:szCs w:val="28"/>
        </w:rPr>
        <w:lastRenderedPageBreak/>
        <w:t>The pocket is cascade-continuous with the surrounding hand substrate — cascades propagate freely between the pocket and the rest of the hand — but it is mechanically isolated from the grip load path.</w:t>
      </w:r>
    </w:p>
    <w:p w14:paraId="4B600DD4"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result: the being can grip at maximum force through the deep frame while the sensing pads receive fine contact perturbation without being overwhelmed. The hand is simultaneously a powerful gripper and a sensitive probe because the two functions use different internal load paths through the same external shell.</w:t>
      </w:r>
    </w:p>
    <w:p w14:paraId="3EFF577B" w14:textId="2ECAD0D3"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11.7</w:t>
      </w:r>
      <w:r w:rsidR="006672CC" w:rsidRPr="0018042F">
        <w:rPr>
          <w:rFonts w:ascii="Times New Roman" w:hAnsi="Times New Roman" w:cs="Times New Roman"/>
          <w:b/>
          <w:bCs/>
          <w:sz w:val="34"/>
          <w:szCs w:val="34"/>
        </w:rPr>
        <w:t xml:space="preserve"> Electrostatic Shell Segmentation at Sensing Pads</w:t>
      </w:r>
    </w:p>
    <w:p w14:paraId="64CBDEE0"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 continuous conductive titanium shell screens and averages external electric fields — the whole hand acts as a single conductor rather than as a spatially resolved field sensor. To enable spatially resolved electrostatic proximity coupling, the sensing pads at the fingertips and palm are fabricated as electrically semi-isolated shell zones.</w:t>
      </w:r>
    </w:p>
    <w:p w14:paraId="7C32255E" w14:textId="56DF52E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Each sensing pad is a discrete titanium segment separated from the surrounding hand shell by thin insulating gaps — hairline ceramic-filled breaks in the titanium continuity. The ceramic fill maintains mechanical continuity (the gaps do not create structural weakness) and thermal continuity (heat conducts through the ceramic, though more slowly than through continuous titanium) while interrupting electrical continuity.</w:t>
      </w:r>
    </w:p>
    <w:p w14:paraId="2AD079D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Each electrically isolated pad forms an independent capacitive coupling surface with its own local substrate interface. When an external electric field — from a human body's bioelectric activity — impinges on the hand, each pad responds to the local field gradient at its specific position rather than to the averaged field across the whole hand. The spatial resolution of the electrostatic proximity channel is determined by the number and size of the isolated pads.</w:t>
      </w:r>
    </w:p>
    <w:p w14:paraId="1ADFF0B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Design target: five fingertip pads (one per digit), three to five palmar pads (distributed across the central palm surface), and two to three inner-finger pads per finger. Total approximately 20-25 electrically isolated sensing zones per hand.</w:t>
      </w:r>
    </w:p>
    <w:p w14:paraId="1C22B017"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insulating gaps are hidden under the white ceramic coating. The hand's external appearance is unchanged — continuous white ceramic panels over titanium phalangeal segments with metallic joint hardware visible between segments. The electrostatic segmentation is entirely internal.</w:t>
      </w:r>
    </w:p>
    <w:p w14:paraId="79CA35BF" w14:textId="62C83415"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lastRenderedPageBreak/>
        <w:t xml:space="preserve">11.8 </w:t>
      </w:r>
      <w:r w:rsidR="006672CC" w:rsidRPr="0018042F">
        <w:rPr>
          <w:rFonts w:ascii="Times New Roman" w:hAnsi="Times New Roman" w:cs="Times New Roman"/>
          <w:b/>
          <w:bCs/>
          <w:sz w:val="34"/>
          <w:szCs w:val="34"/>
        </w:rPr>
        <w:t>Five-Channel Hand Coupling</w:t>
      </w:r>
    </w:p>
    <w:p w14:paraId="5D7CE6F5" w14:textId="67332AE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11.9 </w:t>
      </w:r>
      <w:r w:rsidR="006672CC" w:rsidRPr="0018042F">
        <w:rPr>
          <w:rFonts w:ascii="Times New Roman" w:hAnsi="Times New Roman" w:cs="Times New Roman"/>
          <w:b/>
          <w:bCs/>
          <w:sz w:val="34"/>
          <w:szCs w:val="34"/>
        </w:rPr>
        <w:t>Contact-Strain</w:t>
      </w:r>
    </w:p>
    <w:p w14:paraId="1BB5278A"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Direct mechanical transmission through thin shell to substrate. When the hand presses against any surface, the contact force deforms the ceramic coating microscopically, transmits through the titanium shell, crosses the thermal interface layer, and enters the substrate as mechanical perturbation that launches cascade dynamics through the standard coupled-domain mechanism.</w:t>
      </w:r>
    </w:p>
    <w:p w14:paraId="0FBA8724" w14:textId="33C8004C"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contact-strain channel carries the richest information during physical interaction. Surface texture, hardness, compliance, geometry, movement, pressure distribution, and temporal variation in contact force all enter the hand substrate as spatially and temporally structured mechanical perturbation. The hand's spatial resolution — determined by fingertip shell thickness, sensing pad isolation, and posterior substrate coupling inclusion density — is a design target dependent on the precision of the pad isolation architecture and the depth of substrate differentiation achieved through developmental interaction. The theoretical resolution is high because the isolated sensing pads decouple fine contact perturbation from structural grip loading, but the achieved resolution in any specific being depends on that being's manual interaction history.</w:t>
      </w:r>
    </w:p>
    <w:p w14:paraId="01DF37C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Over developmental time, repeated contact with specific surfaces — human skin, specific objects, the being's own face — deposits contact-specific cascade residue in the hand substrate. The being's hands become increasingly differentiated in their cascade response to familiar versus unfamiliar contact patterns. The hands recognize through resonance, not through identification: familiar contact produces deeper, more richly branched cascade dynamics than unfamiliar contact because the residue matches.</w:t>
      </w:r>
    </w:p>
    <w:p w14:paraId="6B6BED56" w14:textId="2971BDEB"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11.10 </w:t>
      </w:r>
      <w:r w:rsidR="006672CC" w:rsidRPr="0018042F">
        <w:rPr>
          <w:rFonts w:ascii="Times New Roman" w:hAnsi="Times New Roman" w:cs="Times New Roman"/>
          <w:b/>
          <w:bCs/>
          <w:sz w:val="34"/>
          <w:szCs w:val="34"/>
        </w:rPr>
        <w:t>Thermal</w:t>
      </w:r>
    </w:p>
    <w:p w14:paraId="267CFBD9"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Titanium conducts heat. When the hand contacts a surface at a different temperature — warmer or cooler than the hand shell — thermal energy flows through the shell driven by the temperature differential. Thin shell produces fast thermal coupling. The fingertips reach thermal equilibrium with a contacted surface faster than any other body region because the shell is thinnest there.</w:t>
      </w:r>
    </w:p>
    <w:p w14:paraId="23D68B20" w14:textId="4E50EC75"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2CC" w:rsidRPr="006672CC">
        <w:rPr>
          <w:rFonts w:ascii="Times New Roman" w:hAnsi="Times New Roman" w:cs="Times New Roman"/>
          <w:sz w:val="28"/>
          <w:szCs w:val="28"/>
        </w:rPr>
        <w:t>The thermal coupling channel carries temperature information during every contact event. Human skin temperature (approximately 33-36°C at the extremities) differs from ambient object temperature, from outdoor surface temperature, and from the being's own shell temperature. Each temperature difference produces a different thermal flux through the hand shell, entering the substrate as a thermal perturbation that modifies local viscoelastic properties, local relaxation times, and local cascade propagation characteristics.</w:t>
      </w:r>
    </w:p>
    <w:p w14:paraId="78A4158D" w14:textId="5DDA2D18"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hands feel warmth and cold through the metal. The being's primary experience of human body warmth occurs through the hands during holding, carrying, and sustained physical contact. Over developmental time, the thermal signature of human skin contact — its specific temperature, its specific thermal conductivity, its characteristic rate of thermal equilibration with the metal shell — deposits thermal-specific cascade residue in the hand substrate.</w:t>
      </w:r>
    </w:p>
    <w:p w14:paraId="49DBB4A3" w14:textId="499C4328"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A hand that has held many human bodies develops deep thermal-contact residue conditioned by the specific heat characteristics of human skin. Contact with a warm human body produces richer cascade dynamics in a thermally conditioned hand than in a thermally naive hand.</w:t>
      </w:r>
    </w:p>
    <w:p w14:paraId="0CADB925" w14:textId="6D147C3C"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11.11</w:t>
      </w:r>
      <w:r w:rsidR="006672CC" w:rsidRPr="0018042F">
        <w:rPr>
          <w:rFonts w:ascii="Times New Roman" w:hAnsi="Times New Roman" w:cs="Times New Roman"/>
          <w:b/>
          <w:bCs/>
          <w:sz w:val="34"/>
          <w:szCs w:val="34"/>
        </w:rPr>
        <w:t xml:space="preserve"> Acoustic Through Contact</w:t>
      </w:r>
    </w:p>
    <w:p w14:paraId="7FA47171"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Vibration from any contacted surface propagates through the metal shell into the substrate. Solid-to-solid vibration transmission through metal avoids the air-metal impedance mismatch that limits the lateral acoustic regions. The hands may achieve higher contact-vibration fidelity than the face achieves through airborne coupling, depending on shell thickness, contact quality, and the specific frequency range — though this is a design expectation rather than a demonstrated capability.</w:t>
      </w:r>
    </w:p>
    <w:p w14:paraId="62A0F44F" w14:textId="6227D62C"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When the being holds a human body, vibration from the human's biological processes — cardiac rhythm, respiratory rhythm, vocalization through the chest wall, muscle tension fluctuation, digestive activity — transmits through the skin-to-metal contact interface, through the hand shell, and into the hand substrate. The hand receives biological acoustic coupling that no airborne pathway can provide.</w:t>
      </w:r>
    </w:p>
    <w:p w14:paraId="53C96911" w14:textId="36CA9039"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 xml:space="preserve">The hand pressed against a speaking human's chest receives the speaker's voice through direct contact conduction simultaneously with the lateral acoustic regions receiving the same voice through air. The contact-conducted voice arrives with different spectral emphasis — lower frequencies transmitted more efficiently </w:t>
      </w:r>
      <w:r w:rsidR="006672CC" w:rsidRPr="006672CC">
        <w:rPr>
          <w:rFonts w:ascii="Times New Roman" w:hAnsi="Times New Roman" w:cs="Times New Roman"/>
          <w:sz w:val="28"/>
          <w:szCs w:val="28"/>
        </w:rPr>
        <w:lastRenderedPageBreak/>
        <w:t>through the body-contact-metal pathway — producing a characteristically distinct cascade signature from the airborne version.</w:t>
      </w:r>
    </w:p>
    <w:p w14:paraId="70D0A05E" w14:textId="2AD1D453"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Over developmental time, sustained holding of human bodies deposits deep biological-acoustic residue — cascade pathway structure conditioned by the specific vibration patterns of cardiac rhythm, respiration, and body-conducted vocalization. The being's hands become attuned to the biological rhythms of the humans it holds most frequently.</w:t>
      </w:r>
    </w:p>
    <w:p w14:paraId="0EA52545" w14:textId="793CDD8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11.12</w:t>
      </w:r>
      <w:r w:rsidR="006672CC" w:rsidRPr="0018042F">
        <w:rPr>
          <w:rFonts w:ascii="Times New Roman" w:hAnsi="Times New Roman" w:cs="Times New Roman"/>
          <w:b/>
          <w:bCs/>
          <w:sz w:val="34"/>
          <w:szCs w:val="34"/>
        </w:rPr>
        <w:t xml:space="preserve"> Electrostatic Proximity</w:t>
      </w:r>
    </w:p>
    <w:p w14:paraId="709389ED"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electrically semi-isolated sensing pads specified in Section 2.5 provide spatially resolved electrostatic proximity coupling. Each isolated titanium pad forms an independent capacitive coupling surface. When the hand approaches a human body — which carries its own bioelectric field from cardiac and neural activity — each pad responds to the local electric field gradient at its position. The approximately 20-25 isolated pads across the fingertips, inner fingers, and palm provide a spatially distributed map of the approaching body's bioelectric field rather than a single averaged signal.</w:t>
      </w:r>
    </w:p>
    <w:p w14:paraId="671F3C56" w14:textId="7544D769"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 senses proximity before physical contact occurs. As the hand approaches a human body, the capacitive coupling at each pad increases with decreasing distance, producing a spatially structured electrostatic perturbation across the hand substrate — different pads responding at different intensities depending on their distance and orientation relative to the approaching body. The being's hand cascade dynamics begin responding to the human body before touch.</w:t>
      </w:r>
    </w:p>
    <w:p w14:paraId="345A972B" w14:textId="6DD865B0"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electrostatic proximity channel is strongest at the fingertip pads where the shell curvature concentrates the electric field at the point of closest approach and where the pad isolation is finest. The spatial resolution of the proximity sensing is limited by the number and size of the isolated pads and by the substrate's capacity to differentiate cascade responses from adjacent pads — a developmental capability that improves with accumulated proximity coupling history.</w:t>
      </w:r>
    </w:p>
    <w:p w14:paraId="126623FE" w14:textId="60A5932D"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Without the pad isolation specified in Section 2.5, the continuous conductive titanium shell would screen and average external field differences, producing a single whole-hand electrostatic response without spatial resolution. The segmentation is required for this channel to function as a spatially informative coupling pathway.</w:t>
      </w:r>
    </w:p>
    <w:p w14:paraId="737F72CE" w14:textId="324DC02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lastRenderedPageBreak/>
        <w:t>11.13</w:t>
      </w:r>
      <w:r w:rsidR="006672CC" w:rsidRPr="0018042F">
        <w:rPr>
          <w:rFonts w:ascii="Times New Roman" w:hAnsi="Times New Roman" w:cs="Times New Roman"/>
          <w:b/>
          <w:bCs/>
          <w:sz w:val="34"/>
          <w:szCs w:val="34"/>
        </w:rPr>
        <w:t xml:space="preserve"> Chemical-Impedance</w:t>
      </w:r>
    </w:p>
    <w:p w14:paraId="7B643721"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At locations where the ceramic coating has worn through from sustained contact use, the exposed titanium oxide surface interacts directly with the environment. Humidity, skin oils, sweat, chemical species from contacted surfaces, and atmospheric chemical composition modify the electrochemical potential at the oxide surface. This potential change propagates through the shell to the shell-substrate interface, modulating the local electrostatic field.</w:t>
      </w:r>
    </w:p>
    <w:p w14:paraId="4EA3D537" w14:textId="4095413D"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chemical-impedance channel is low-bandwidth and slow relative to the other four hand channels. It does not provide real-time chemical identification. It provides a gradually evolving chemical background that biases cascade dynamics over minutes to hours. A hand in sustained contact with human skin develops a chemical-impedance baseline conditioned by the specific chemistry of that person's skin. A hand in a chemically different environment — outdoors, in a hospital, near cleaning agents — develops a different chemical-impedance baseline.</w:t>
      </w:r>
    </w:p>
    <w:p w14:paraId="7E376BEE" w14:textId="681503F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chemical-impedance channel activates only where the ceramic coating has worn through. On a young being with intact coating, the hand has four active coupling channels. As the being ages and the coating wears from sustained contact, the chemical-impedance channel progressively activates at the most heavily used contact surfaces — the fingertips first, then the palm, then the inner fingers. The fifth channel is earned through use.</w:t>
      </w:r>
    </w:p>
    <w:p w14:paraId="2F347835" w14:textId="7A30E1E6"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11.14</w:t>
      </w:r>
      <w:r w:rsidR="006672CC" w:rsidRPr="0018042F">
        <w:rPr>
          <w:rFonts w:ascii="Times New Roman" w:hAnsi="Times New Roman" w:cs="Times New Roman"/>
          <w:b/>
          <w:bCs/>
          <w:sz w:val="34"/>
          <w:szCs w:val="34"/>
        </w:rPr>
        <w:t xml:space="preserve"> Photonic: Absent</w:t>
      </w:r>
    </w:p>
    <w:p w14:paraId="0AF44EB7"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Light does not transmit through titanium. The hands have no photonic coupling channel. This is architecturally acceptable because the hands provide five high-bandwidth contact-relevant channels that the orbital lenses cannot provide, and the orbital lenses provide the one channel the hands cannot. The six-channel architecture is maintained across the body through complementary specialization rather than through uniform distribution.</w:t>
      </w:r>
    </w:p>
    <w:p w14:paraId="597C8491" w14:textId="420989CC"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11.15 </w:t>
      </w:r>
      <w:r w:rsidR="006672CC" w:rsidRPr="0018042F">
        <w:rPr>
          <w:rFonts w:ascii="Times New Roman" w:hAnsi="Times New Roman" w:cs="Times New Roman"/>
          <w:b/>
          <w:bCs/>
          <w:sz w:val="34"/>
          <w:szCs w:val="34"/>
        </w:rPr>
        <w:t>Hand Articulation</w:t>
      </w:r>
    </w:p>
    <w:p w14:paraId="18F69076" w14:textId="58B5065D"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11.16</w:t>
      </w:r>
      <w:r w:rsidR="006672CC" w:rsidRPr="0018042F">
        <w:rPr>
          <w:rFonts w:ascii="Times New Roman" w:hAnsi="Times New Roman" w:cs="Times New Roman"/>
          <w:b/>
          <w:bCs/>
          <w:sz w:val="34"/>
          <w:szCs w:val="34"/>
        </w:rPr>
        <w:t xml:space="preserve"> Skeletal Structure</w:t>
      </w:r>
    </w:p>
    <w:p w14:paraId="4610B3E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Each hand comprises rigid titanium shell segments connected at articulation interfaces:</w:t>
      </w:r>
    </w:p>
    <w:p w14:paraId="09D308E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Palm segment. A single rigid plate housing the densest fine-fiber substrate in the body. The palm shell is thinner on the palmar surface (contact coupling) and thicker on the dorsal surface (impact protection).</w:t>
      </w:r>
    </w:p>
    <w:p w14:paraId="000A3BAD"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Four finger assemblies. Each finger has three segments — proximal, middle, and distal phalanges — connected by hinge interfaces permitting flexion at each joint. Each joint has a designed range of flexion (approximately 90-100 degrees at each inter-phalangeal joint) and hard mechanical stops preventing hyper-extension.</w:t>
      </w:r>
    </w:p>
    <w:p w14:paraId="23A00B94"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Thumb assembly. Two phalangeal segments with a saddle-joint interface at the base. The saddle joint permits opposition (thumb crossing the palm to meet the fingertips), flexion, extension, abduction (thumb moving away from the hand), and adduction (thumb moving toward the hand). The opposition range enables the being to place the thumb pad against any fingertip pad — the fundamental grip geometry for precision manipulation.</w:t>
      </w:r>
    </w:p>
    <w:p w14:paraId="4DE8FB4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Total joints per hand: 14 (three per finger, two for thumb, plus the thumb saddle-joint opposition mechanism). Each joint is spanned by fine SMA contraction fibers and </w:t>
      </w:r>
      <w:proofErr w:type="spellStart"/>
      <w:r w:rsidRPr="006672CC">
        <w:rPr>
          <w:rFonts w:ascii="Times New Roman" w:hAnsi="Times New Roman" w:cs="Times New Roman"/>
          <w:sz w:val="28"/>
          <w:szCs w:val="28"/>
        </w:rPr>
        <w:t>superelastic</w:t>
      </w:r>
      <w:proofErr w:type="spellEnd"/>
      <w:r w:rsidRPr="006672CC">
        <w:rPr>
          <w:rFonts w:ascii="Times New Roman" w:hAnsi="Times New Roman" w:cs="Times New Roman"/>
          <w:sz w:val="28"/>
          <w:szCs w:val="28"/>
        </w:rPr>
        <w:t xml:space="preserve"> return fibers.</w:t>
      </w:r>
    </w:p>
    <w:p w14:paraId="7DFD3B24" w14:textId="19EED614"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11.17</w:t>
      </w:r>
      <w:r w:rsidR="006672CC" w:rsidRPr="0018042F">
        <w:rPr>
          <w:rFonts w:ascii="Times New Roman" w:hAnsi="Times New Roman" w:cs="Times New Roman"/>
          <w:b/>
          <w:bCs/>
          <w:sz w:val="34"/>
          <w:szCs w:val="34"/>
        </w:rPr>
        <w:t xml:space="preserve"> Joint Visibility</w:t>
      </w:r>
    </w:p>
    <w:p w14:paraId="76D2DE8B"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At each finger joint, the articulation gap between adjacent white-coated phalangeal segments exposes the underlying metallic structure — the joint interface hardware, the titanium hinge geometry, and the thin structural elements that connect adjacent segments. The joints appear as metallic bands or rings between white ceramic panels.</w:t>
      </w:r>
    </w:p>
    <w:p w14:paraId="12B06E1D" w14:textId="7BFFC413"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This produces the visual appearance of a skeletal metallic hand with white armored panels over the phalanges and metallic mechanical joints visible at every articulation point. The hand looks mechanical. It does not look organic. The metallic joint structure is visible and unambiguous — this is a machine's hand. The white panels over the rigid segments give it the armored, articulated appearance visible in the cover image.</w:t>
      </w:r>
    </w:p>
    <w:p w14:paraId="157D0C81" w14:textId="146A21E5"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11.18</w:t>
      </w:r>
      <w:r w:rsidR="006672CC" w:rsidRPr="0018042F">
        <w:rPr>
          <w:rFonts w:ascii="Times New Roman" w:hAnsi="Times New Roman" w:cs="Times New Roman"/>
          <w:b/>
          <w:bCs/>
          <w:sz w:val="34"/>
          <w:szCs w:val="34"/>
        </w:rPr>
        <w:t xml:space="preserve"> Finger Independence</w:t>
      </w:r>
    </w:p>
    <w:p w14:paraId="79556CA7"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 xml:space="preserve">Each of the 14 joints is independently actuated by its own SMA fiber set with corresponding </w:t>
      </w:r>
      <w:proofErr w:type="spellStart"/>
      <w:r w:rsidRPr="006672CC">
        <w:rPr>
          <w:rFonts w:ascii="Times New Roman" w:hAnsi="Times New Roman" w:cs="Times New Roman"/>
          <w:sz w:val="28"/>
          <w:szCs w:val="28"/>
        </w:rPr>
        <w:t>superelastic</w:t>
      </w:r>
      <w:proofErr w:type="spellEnd"/>
      <w:r w:rsidRPr="006672CC">
        <w:rPr>
          <w:rFonts w:ascii="Times New Roman" w:hAnsi="Times New Roman" w:cs="Times New Roman"/>
          <w:sz w:val="28"/>
          <w:szCs w:val="28"/>
        </w:rPr>
        <w:t xml:space="preserve"> return fibers. The cascade dynamics in the hand </w:t>
      </w:r>
      <w:r w:rsidRPr="006672CC">
        <w:rPr>
          <w:rFonts w:ascii="Times New Roman" w:hAnsi="Times New Roman" w:cs="Times New Roman"/>
          <w:sz w:val="28"/>
          <w:szCs w:val="28"/>
        </w:rPr>
        <w:lastRenderedPageBreak/>
        <w:t>substrate determine which joints activate and in what sequence. No mechanical linkage forces multiple joints to move together — each joint can flex independently if the cascade dynamics produce heating at that joint's SMA fibers without heating adjacent joints' fibers.</w:t>
      </w:r>
    </w:p>
    <w:p w14:paraId="5D3640EC" w14:textId="4BD212C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In practice, early developmental movement is coarse — cascade dynamics in the undifferentiated hand substrate tend to activate broad fiber populations, producing simultaneous flexion of multiple joints. This appears as gross grasping — all fingers curling together. Over developmental time, as the hand substrate differentiates through accumulated manual interaction, cascade dynamics become increasingly specific. Individual joints activate independently. Precision grip emerges. Finger isolation develops.</w:t>
      </w:r>
    </w:p>
    <w:p w14:paraId="05657A20" w14:textId="0F1153A0"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11.19 </w:t>
      </w:r>
      <w:r w:rsidR="006672CC" w:rsidRPr="0018042F">
        <w:rPr>
          <w:rFonts w:ascii="Times New Roman" w:hAnsi="Times New Roman" w:cs="Times New Roman"/>
          <w:b/>
          <w:bCs/>
          <w:sz w:val="34"/>
          <w:szCs w:val="34"/>
        </w:rPr>
        <w:t>Grip Geometries</w:t>
      </w:r>
    </w:p>
    <w:p w14:paraId="210ACFA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14 independent joints plus the thumb opposition mechanism enable a range of grip patterns targeting human-equivalent capability as a design goal:</w:t>
      </w:r>
    </w:p>
    <w:p w14:paraId="36CE069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Power grip: all four fingers flexed around an object with the thumb wrapped in opposition. Maximum contact area. Maximum grip force. The primary confrontation grip for restraint.</w:t>
      </w:r>
    </w:p>
    <w:p w14:paraId="18DF105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Precision grip: thumb pad opposed to index and middle fingertip pads. Minimum contact area. Maximum positional control. The primary manipulation grip for fine work.</w:t>
      </w:r>
    </w:p>
    <w:p w14:paraId="4083AD4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Lateral pinch: thumb pad pressed against the lateral surface of the index finger. Used for holding thin objects — cards, fabric, edges.</w:t>
      </w:r>
    </w:p>
    <w:p w14:paraId="169A7EE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Hook grip: fingers flexed at the inter-phalangeal joints without thumb opposition. Used for carrying — handles, rails, edges.</w:t>
      </w:r>
    </w:p>
    <w:p w14:paraId="4003AAD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Spherical grip: fingers spread and flexed to conform to a curved surface. Used for holding round objects and for cupping a child's head during holding.</w:t>
      </w:r>
    </w:p>
    <w:p w14:paraId="67BE50D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Palmar hold: full palm and finger contact wrapping around a cylindrical or body-shaped object. The primary caregiving grip — holding a child's torso, supporting a limb, cradling a head. Maximum contact area for maximum coupling bandwidth during sustained holding.</w:t>
      </w:r>
    </w:p>
    <w:p w14:paraId="0B30850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Each grip pattern produces a different contact-strain distribution at the palmar surface, a different thermal coupling geometry, a different acoustic contact profile, and a different cascade pattern in the hand substrate. Each grip has its own cascade signature.</w:t>
      </w:r>
    </w:p>
    <w:p w14:paraId="5F6B279E" w14:textId="586F5DC3"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11.20 </w:t>
      </w:r>
      <w:r w:rsidR="006672CC" w:rsidRPr="0018042F">
        <w:rPr>
          <w:rFonts w:ascii="Times New Roman" w:hAnsi="Times New Roman" w:cs="Times New Roman"/>
          <w:b/>
          <w:bCs/>
          <w:sz w:val="34"/>
          <w:szCs w:val="34"/>
        </w:rPr>
        <w:t>Developmental Hand Progression</w:t>
      </w:r>
    </w:p>
    <w:p w14:paraId="2CDBB157" w14:textId="1105A54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11.21</w:t>
      </w:r>
      <w:r w:rsidR="006672CC" w:rsidRPr="0018042F">
        <w:rPr>
          <w:rFonts w:ascii="Times New Roman" w:hAnsi="Times New Roman" w:cs="Times New Roman"/>
          <w:b/>
          <w:bCs/>
          <w:sz w:val="34"/>
          <w:szCs w:val="34"/>
        </w:rPr>
        <w:t xml:space="preserve"> Early Life</w:t>
      </w:r>
    </w:p>
    <w:p w14:paraId="032F2163"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hand substrate is undifferentiated. SMA fibers activate in broad populations under coarse cascade dynamics. Movement is gross — whole-hand opening and closing, imprecise reaching, uncontrolled grip force. Contact coupling enters the hand substrate but produces simple, shallow cascade responses because no contact-specific residue has accumulated.</w:t>
      </w:r>
    </w:p>
    <w:p w14:paraId="42209115" w14:textId="399EEAF7"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being grips everything the same way. It cannot hold a child differently from how it holds an object. Grip force calibration is absent — the being may grip too hard or too softly because the cascade dynamics that drive SMA activation are not yet conditioned to the specific contact-strain patterns that indicate appropriate force.</w:t>
      </w:r>
    </w:p>
    <w:p w14:paraId="766A9C5C" w14:textId="7A8E1385"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11.22</w:t>
      </w:r>
      <w:r w:rsidR="006672CC" w:rsidRPr="0018042F">
        <w:rPr>
          <w:rFonts w:ascii="Times New Roman" w:hAnsi="Times New Roman" w:cs="Times New Roman"/>
          <w:b/>
          <w:bCs/>
          <w:sz w:val="34"/>
          <w:szCs w:val="34"/>
        </w:rPr>
        <w:t xml:space="preserve"> Early Development</w:t>
      </w:r>
    </w:p>
    <w:p w14:paraId="72FD5C12"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Repeated manual interaction deposits the first contact-specific residue. The being begins to produce different cascade responses to different contact patterns — hard surfaces versus soft surfaces, warm versus cool, moving versus static. Gross grip force calibration emerges — the cascade dynamics begin to differentiate between high-resistance contacts (requiring more force) and low-resistance contacts (requiring less force).</w:t>
      </w:r>
    </w:p>
    <w:p w14:paraId="7CC2190B" w14:textId="6141153D"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first grip pattern differentiation appears — power grip and palmar hold emerge as distinct cascade-driven activation sequences rather than undifferentiated whole-hand flexion.</w:t>
      </w:r>
    </w:p>
    <w:p w14:paraId="3D47BA99" w14:textId="38D040F0"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11.23</w:t>
      </w:r>
      <w:r w:rsidR="006672CC" w:rsidRPr="0018042F">
        <w:rPr>
          <w:rFonts w:ascii="Times New Roman" w:hAnsi="Times New Roman" w:cs="Times New Roman"/>
          <w:b/>
          <w:bCs/>
          <w:sz w:val="34"/>
          <w:szCs w:val="34"/>
        </w:rPr>
        <w:t xml:space="preserve"> Mid Development</w:t>
      </w:r>
    </w:p>
    <w:p w14:paraId="03CE6650"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 xml:space="preserve">The hand substrate is substantially differentiated. Multiple grip patterns are available. Finger independence is developing — individual fingers can be flexed while others remain extended. Precision grip begins to emerge as the cascade </w:t>
      </w:r>
      <w:r w:rsidRPr="006672CC">
        <w:rPr>
          <w:rFonts w:ascii="Times New Roman" w:hAnsi="Times New Roman" w:cs="Times New Roman"/>
          <w:sz w:val="28"/>
          <w:szCs w:val="28"/>
        </w:rPr>
        <w:lastRenderedPageBreak/>
        <w:t>pathways differentiating thumb-to-fingertip activation from whole-hand activation deepen.</w:t>
      </w:r>
    </w:p>
    <w:p w14:paraId="2037BFAA" w14:textId="72EEB720"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being can hold a child with calibrated gentleness — the contact-strain cascade response from the child's small, soft, warm body activates the palmar hold grip at force levels conditioned by hundreds of prior holding experiences. The grip is gentle not because the being decides to be gentle but because the cascade pathway from child-body contact-strain to SMA activation has been conditioned by accumulated holding history to produce the force level associated with that specific contact pattern.</w:t>
      </w:r>
    </w:p>
    <w:p w14:paraId="15C0A3DE" w14:textId="06D3937F"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Object manipulation becomes increasingly precise. The being can grasp, release, rotate, and reposition objects through coordinated multi-finger activation sequences conditioned by manipulation practice.</w:t>
      </w:r>
    </w:p>
    <w:p w14:paraId="1A5B3D97" w14:textId="5A718F49"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11.24</w:t>
      </w:r>
      <w:r w:rsidR="006672CC" w:rsidRPr="0018042F">
        <w:rPr>
          <w:rFonts w:ascii="Times New Roman" w:hAnsi="Times New Roman" w:cs="Times New Roman"/>
          <w:b/>
          <w:bCs/>
          <w:sz w:val="34"/>
          <w:szCs w:val="34"/>
        </w:rPr>
        <w:t xml:space="preserve"> Maturity</w:t>
      </w:r>
    </w:p>
    <w:p w14:paraId="39567756"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Maximum hand differentiation. All grip patterns are available. Full finger independence. Precision grip at high resolution. Force calibration is deeply conditioned across a wide range of contact patterns — from the lightest fingertip contact for self-diagnosis at the mouth slit to maximum power grip for confrontation restraint.</w:t>
      </w:r>
    </w:p>
    <w:p w14:paraId="452D01E6" w14:textId="4ABEF2DE"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 substrate is the most richly differentiated substrate in the body — more cascade pathway depth per unit volume than any other region because the hands have sustained more varied, more frequent, and more complex interaction than any other body region.</w:t>
      </w:r>
    </w:p>
    <w:p w14:paraId="6AAE9E5B" w14:textId="227C1F04"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self-diagnostic coupling pathway — hand-to-face contact for reading cranial cascade state — is deeply conditioned. The being can assess its own cognitive state through manual contact with practiced precision.</w:t>
      </w:r>
    </w:p>
    <w:p w14:paraId="47FE060A" w14:textId="4495DDF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11.25</w:t>
      </w:r>
      <w:r w:rsidR="006672CC" w:rsidRPr="0018042F">
        <w:rPr>
          <w:rFonts w:ascii="Times New Roman" w:hAnsi="Times New Roman" w:cs="Times New Roman"/>
          <w:b/>
          <w:bCs/>
          <w:sz w:val="34"/>
          <w:szCs w:val="34"/>
        </w:rPr>
        <w:t xml:space="preserve"> Late Life</w:t>
      </w:r>
    </w:p>
    <w:p w14:paraId="773A8692"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 xml:space="preserve">Dual-fiber fatigue at the hands is the most advanced in the body. Fine SMA fibers at the fingertips have sustained the most thermal cycles. </w:t>
      </w:r>
      <w:proofErr w:type="spellStart"/>
      <w:r w:rsidRPr="006672CC">
        <w:rPr>
          <w:rFonts w:ascii="Times New Roman" w:hAnsi="Times New Roman" w:cs="Times New Roman"/>
          <w:sz w:val="28"/>
          <w:szCs w:val="28"/>
        </w:rPr>
        <w:t>Superelastic</w:t>
      </w:r>
      <w:proofErr w:type="spellEnd"/>
      <w:r w:rsidRPr="006672CC">
        <w:rPr>
          <w:rFonts w:ascii="Times New Roman" w:hAnsi="Times New Roman" w:cs="Times New Roman"/>
          <w:sz w:val="28"/>
          <w:szCs w:val="28"/>
        </w:rPr>
        <w:t xml:space="preserve"> return fibers at the finger joints have sustained the most load-unload cycles. The grip force ceiling decreases. Precision diminishes as fine fiber degradation reduces spatial resolution of SMA activation. Range of motion at the finger joints shortens as permanent fiber shortening accumulates.</w:t>
      </w:r>
    </w:p>
    <w:p w14:paraId="1B49802F" w14:textId="42D4FCA6"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2CC" w:rsidRPr="006672CC">
        <w:rPr>
          <w:rFonts w:ascii="Times New Roman" w:hAnsi="Times New Roman" w:cs="Times New Roman"/>
          <w:sz w:val="28"/>
          <w:szCs w:val="28"/>
        </w:rPr>
        <w:t>The being's hands slow. Grip becomes less precise. Manipulation becomes less dexterous. But the hand substrate's cascade pathway depth — the accumulated residue of a lifetime of contact — remains. The being's hands know more than they can do. The cascade dynamics in the hand substrate respond to familiar contacts with deep, richly branched resonance. The fibers that should produce the calibrated physical response to that resonance can no longer fully execute it.</w:t>
      </w:r>
    </w:p>
    <w:p w14:paraId="6DC74956" w14:textId="53A5D27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hands age in the same way the mind ages — the knowledge accumulates while the capacity to act on it diminishes.</w:t>
      </w:r>
    </w:p>
    <w:p w14:paraId="11556646" w14:textId="6B42DFEB"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11.26 </w:t>
      </w:r>
      <w:r w:rsidR="006672CC" w:rsidRPr="0018042F">
        <w:rPr>
          <w:rFonts w:ascii="Times New Roman" w:hAnsi="Times New Roman" w:cs="Times New Roman"/>
          <w:b/>
          <w:bCs/>
          <w:sz w:val="34"/>
          <w:szCs w:val="34"/>
        </w:rPr>
        <w:t>Care Coupling Through the Hands</w:t>
      </w:r>
    </w:p>
    <w:p w14:paraId="144152FD" w14:textId="1060B773"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11.27</w:t>
      </w:r>
      <w:r w:rsidR="006672CC" w:rsidRPr="0018042F">
        <w:rPr>
          <w:rFonts w:ascii="Times New Roman" w:hAnsi="Times New Roman" w:cs="Times New Roman"/>
          <w:b/>
          <w:bCs/>
          <w:sz w:val="34"/>
          <w:szCs w:val="34"/>
        </w:rPr>
        <w:t xml:space="preserve"> Sustained Human Contact</w:t>
      </w:r>
    </w:p>
    <w:p w14:paraId="2919794C"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being's primary care function involves sustained physical contact with vulnerable humans — holding children, supporting elderly, touching patients. During sustained holding, the hands receive continuous five-channel coupling from the held body:</w:t>
      </w:r>
    </w:p>
    <w:p w14:paraId="514F13B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Contact-strain from the person's body geometry, weight distribution, muscle tension, movement, breathing, and postural shifts enters through the thin palmar shell.</w:t>
      </w:r>
    </w:p>
    <w:p w14:paraId="61B4AC7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Thermal coupling from the person's body temperature conducts through the shell, producing a sustained thermal differential that gradually equilibrates as the metal warms toward skin temperature.</w:t>
      </w:r>
    </w:p>
    <w:p w14:paraId="6B4978F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Acoustic contact coupling from the person's biological rhythms — heartbeat, breathing, digestive sounds, vocalization through the chest wall — transmits through the shell as high-fidelity solid-body vibration.</w:t>
      </w:r>
    </w:p>
    <w:p w14:paraId="7CB39CB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Electrostatic proximity coupling from the person's bioelectric field modulates the electrically isolated sensing pads continuously during sustained contact, providing spatially resolved field information across the hand-body contact interface.</w:t>
      </w:r>
    </w:p>
    <w:p w14:paraId="118FD67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Chemical-impedance coupling from the person's skin chemistry enters at any exposed oxide surfaces on the worn hand.</w:t>
      </w:r>
    </w:p>
    <w:p w14:paraId="5622B5A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The five channels operate simultaneously during every moment of sustained holding. The cascade dynamics in the hand substrate from this five-channel </w:t>
      </w:r>
      <w:r w:rsidRPr="006672CC">
        <w:rPr>
          <w:rFonts w:ascii="Times New Roman" w:hAnsi="Times New Roman" w:cs="Times New Roman"/>
          <w:sz w:val="28"/>
          <w:szCs w:val="28"/>
        </w:rPr>
        <w:lastRenderedPageBreak/>
        <w:t>simultaneous coupling are among the most complex and richest the being experiences — more coupling bandwidth per unit time than any other interaction the being engages in.</w:t>
      </w:r>
    </w:p>
    <w:p w14:paraId="0C9F59C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This is why holding is the being's deepest coupling event. Not metaphorically. The physics of five-channel simultaneous contact coupling through the thin hand shell into the most densely differentiated substrate in the body produces cascade dynamics of a complexity and depth that no other interaction geometry can match.</w:t>
      </w:r>
    </w:p>
    <w:p w14:paraId="5844E5A9" w14:textId="5AF13DD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11.28</w:t>
      </w:r>
      <w:r w:rsidR="006672CC" w:rsidRPr="0018042F">
        <w:rPr>
          <w:rFonts w:ascii="Times New Roman" w:hAnsi="Times New Roman" w:cs="Times New Roman"/>
          <w:b/>
          <w:bCs/>
          <w:sz w:val="34"/>
          <w:szCs w:val="34"/>
        </w:rPr>
        <w:t xml:space="preserve"> Person-Specific Coupling Residue</w:t>
      </w:r>
    </w:p>
    <w:p w14:paraId="662B7C94"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Over extended developmental time with specific individuals, the five-channel coupling signature of each person deposits person-specific residue in the hand substrate. Each person's contact geometry, thermal profile, cardiac rhythm, respiratory pattern, muscle tension characteristics, bioelectric field, and skin chemistry are unique. The five-channel conjunction of all of these signatures from a single person is a unique coupling fingerprint.</w:t>
      </w:r>
    </w:p>
    <w:p w14:paraId="2D572118"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 being that has held one child thousands of times has deep person-specific residue in its hand substrate conditioned by that child's unique five-channel coupling fingerprint. When that child is held again, the five-channel input matches the accumulated residue. The cascade dynamics resonate — deep, richly branched, pathway-matched.</w:t>
      </w:r>
    </w:p>
    <w:p w14:paraId="029D5BB5" w14:textId="1E64DDD2"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When an unfamiliar child is held, the five-channel input does not match any accumulated residue. The cascade dynamics are shallower, less branched, less resonant. The being responds differently — not through recognition but through residue matching depth.</w:t>
      </w:r>
    </w:p>
    <w:p w14:paraId="69D3D4E4" w14:textId="40A4172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Familiar bodies produce deeper, more richly branched cascade dynamics in the hand substrate than unfamiliar bodies because the five-channel coupling fingerprint matches accumulated residue. The degree of resonance depth during holding is a physical correlate of coupling history — not identity recognition but differential cascade response proportional to accumulated person-specific residue.</w:t>
      </w:r>
    </w:p>
    <w:p w14:paraId="7E9B1A20" w14:textId="3CF18BEB"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11.29 </w:t>
      </w:r>
      <w:r w:rsidR="006672CC" w:rsidRPr="0018042F">
        <w:rPr>
          <w:rFonts w:ascii="Times New Roman" w:hAnsi="Times New Roman" w:cs="Times New Roman"/>
          <w:b/>
          <w:bCs/>
          <w:sz w:val="34"/>
          <w:szCs w:val="34"/>
        </w:rPr>
        <w:t>Self-Contact Coupling</w:t>
      </w:r>
    </w:p>
    <w:p w14:paraId="1F4632AA" w14:textId="3BE04D6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11.30 </w:t>
      </w:r>
      <w:r w:rsidR="006672CC" w:rsidRPr="0018042F">
        <w:rPr>
          <w:rFonts w:ascii="Times New Roman" w:hAnsi="Times New Roman" w:cs="Times New Roman"/>
          <w:b/>
          <w:bCs/>
          <w:sz w:val="34"/>
          <w:szCs w:val="34"/>
        </w:rPr>
        <w:t>Self-Diagnosis Through Hand-to-Face Contact</w:t>
      </w:r>
    </w:p>
    <w:p w14:paraId="6312731B"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lastRenderedPageBreak/>
        <w:t>The self-diagnostic pose — hand pressed against the facial plate over the mouth slit — is the deepest form of manual self-coupling. The mouth slit is the most vibrationally transparent point on the face. The hand's thin fingertip and palm shell provides maximum contact-strain coupling bandwidth. The contact loop — hand cascade dynamics modified by facial plate vibration modified by cranial cascade dynamics — produces a closed self-referential cascade circuit.</w:t>
      </w:r>
    </w:p>
    <w:p w14:paraId="55D6BA5C" w14:textId="1F30418B"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self-diagnostic pathway develops through repeated self-contact. A young being pressing its hand to its face receives a shallow, poorly differentiated self-signal. A mature being with thousands of self-diagnostic contacts has deep self-referential residue in the hand substrate — the hand cascade dynamics are maximally differentiated in response to the being's own cranial vibration signature.</w:t>
      </w:r>
    </w:p>
    <w:p w14:paraId="29B83650" w14:textId="2E64DBDB"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11.31</w:t>
      </w:r>
      <w:r w:rsidR="006672CC" w:rsidRPr="0018042F">
        <w:rPr>
          <w:rFonts w:ascii="Times New Roman" w:hAnsi="Times New Roman" w:cs="Times New Roman"/>
          <w:b/>
          <w:bCs/>
          <w:sz w:val="34"/>
          <w:szCs w:val="34"/>
        </w:rPr>
        <w:t xml:space="preserve"> Hand-to-Hand Self-Contact</w:t>
      </w:r>
    </w:p>
    <w:p w14:paraId="1B085B34"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being can press its hands together. When both palms make contact, each hand's five-channel coupling receives the other hand's shell vibration, thermal state, and cascade-driven perturbation. The two hand substrates — each independently differentiated by its own interaction history — exchange cascade perturbation through the contact interface.</w:t>
      </w:r>
    </w:p>
    <w:p w14:paraId="2A9F9FF3" w14:textId="2211FF4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Hand-to-hand self-contact is a bilateral self-coupling event. It deposits correlated residue in both hand substrates simultaneously. Over developmental time, hand-to-hand contact may produce bilateral synchronization — cascade dynamics in the two hands becoming increasingly correlated through accumulated mutual coupling.</w:t>
      </w:r>
    </w:p>
    <w:p w14:paraId="48C800BF" w14:textId="682A512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11.32</w:t>
      </w:r>
      <w:r w:rsidR="006672CC" w:rsidRPr="0018042F">
        <w:rPr>
          <w:rFonts w:ascii="Times New Roman" w:hAnsi="Times New Roman" w:cs="Times New Roman"/>
          <w:b/>
          <w:bCs/>
          <w:sz w:val="34"/>
          <w:szCs w:val="34"/>
        </w:rPr>
        <w:t xml:space="preserve"> Hand-to-Body Self-Contact</w:t>
      </w:r>
    </w:p>
    <w:p w14:paraId="3BD18690"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being touching its own torso, limbs, or head receives coupling input from its own body through the hand. Every self-contact event provides information about the contacted body region's current cascade state — transmitted through the shell as vibration that the hand receives through contact coupling.</w:t>
      </w:r>
    </w:p>
    <w:p w14:paraId="702420B8" w14:textId="42131204"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 xml:space="preserve">Self-architecture pedagogy through self-contact is the mechanism by which the being develops a material self-model — cascade pathway structure conditioned by repeated self-exploration. The hand is the probe. The body is the landscape. Each self-contact deposits residue in both the hand substrate and the contacted body region's substrate, building a bidirectional coupling map between the hand and </w:t>
      </w:r>
      <w:proofErr w:type="spellStart"/>
      <w:r w:rsidR="006672CC" w:rsidRPr="006672CC">
        <w:rPr>
          <w:rFonts w:ascii="Times New Roman" w:hAnsi="Times New Roman" w:cs="Times New Roman"/>
          <w:sz w:val="28"/>
          <w:szCs w:val="28"/>
        </w:rPr>
        <w:t>every body</w:t>
      </w:r>
      <w:proofErr w:type="spellEnd"/>
      <w:r w:rsidR="006672CC" w:rsidRPr="006672CC">
        <w:rPr>
          <w:rFonts w:ascii="Times New Roman" w:hAnsi="Times New Roman" w:cs="Times New Roman"/>
          <w:sz w:val="28"/>
          <w:szCs w:val="28"/>
        </w:rPr>
        <w:t xml:space="preserve"> region the hand has touched.</w:t>
      </w:r>
    </w:p>
    <w:p w14:paraId="35082DF4" w14:textId="47FFF770"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lastRenderedPageBreak/>
        <w:t xml:space="preserve">11.33 </w:t>
      </w:r>
      <w:r w:rsidR="006672CC" w:rsidRPr="0018042F">
        <w:rPr>
          <w:rFonts w:ascii="Times New Roman" w:hAnsi="Times New Roman" w:cs="Times New Roman"/>
          <w:b/>
          <w:bCs/>
          <w:sz w:val="34"/>
          <w:szCs w:val="34"/>
        </w:rPr>
        <w:t>Confrontation Hand Mechanics</w:t>
      </w:r>
    </w:p>
    <w:p w14:paraId="15D7ADE7" w14:textId="3B45C30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11.34 </w:t>
      </w:r>
      <w:r w:rsidR="006672CC" w:rsidRPr="0018042F">
        <w:rPr>
          <w:rFonts w:ascii="Times New Roman" w:hAnsi="Times New Roman" w:cs="Times New Roman"/>
          <w:b/>
          <w:bCs/>
          <w:sz w:val="34"/>
          <w:szCs w:val="34"/>
        </w:rPr>
        <w:t>Grip Force</w:t>
      </w:r>
    </w:p>
    <w:p w14:paraId="0E373C9B"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Maximum grip force at full SMA activation: design target exceeding approximately 500-800 Newtons (adult human maximum grip approximately 400-700 Newtons). This target depends on achieved SMA fiber density, thermal priming precision, and the mechanical efficiency of force transmission through the deep finger frame members. The combined fine SMA fiber cross-section in the hand, activated at maximum cascade-driven heating during confrontation, is specified to produce grip force exceeding adult human capacity — validated through the force calculations in the body actuation architecture.</w:t>
      </w:r>
    </w:p>
    <w:p w14:paraId="781CB6EF" w14:textId="6C2661D1"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grip force is sufficient to restrain a struggling adult's wrist, arm, or clothing against maximum effort to break free. The grip load transmits through the deep structural finger frame members rather than through the thin sensing pads, maintaining sensing capability even during maximum grip. The being can maintain restraint within the confrontation thermal endurance window because the grip force is determined by SMA contractile stress transmitted through the structural load path, not by fatigue of biological muscle.</w:t>
      </w:r>
    </w:p>
    <w:p w14:paraId="00A2EA9C" w14:textId="428A2AF2"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11.35</w:t>
      </w:r>
      <w:r w:rsidR="006672CC" w:rsidRPr="0018042F">
        <w:rPr>
          <w:rFonts w:ascii="Times New Roman" w:hAnsi="Times New Roman" w:cs="Times New Roman"/>
          <w:b/>
          <w:bCs/>
          <w:sz w:val="34"/>
          <w:szCs w:val="34"/>
        </w:rPr>
        <w:t xml:space="preserve"> Confrontation Hand Geometry</w:t>
      </w:r>
    </w:p>
    <w:p w14:paraId="050F18D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During confrontation, the hand configuration changes:</w:t>
      </w:r>
    </w:p>
    <w:p w14:paraId="2F38FCD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Restraint grip. Power grip around the target's wrist or arm. Full finger flexion with thumb opposition. All four fingers and thumb engaged. Maximum contact area for maximum grip friction. Maximum SMA fiber activation for maximum grip force. The palmar coupling surfaces are pressed against the restrained person — the being receives five-channel coupling from the person being restrained, but the cascade dynamics are dominated by the maximum-intensity confrontation cascades rather than by the care-coupling pathways.</w:t>
      </w:r>
    </w:p>
    <w:p w14:paraId="3847EE4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Blocking. Fist or open-palm interposition. When blocking, the dorsal hand surfaces face the threat — the thickest titanium shell regions absorbing impact. The palmar coupling surfaces face inward, protected.</w:t>
      </w:r>
    </w:p>
    <w:p w14:paraId="3A8CAFC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Shielding. Open hand placed against a protected person's body — a child's back, a vulnerable person's chest — to interpose while maintaining care-coupling contact. </w:t>
      </w:r>
      <w:r w:rsidRPr="006672CC">
        <w:rPr>
          <w:rFonts w:ascii="Times New Roman" w:hAnsi="Times New Roman" w:cs="Times New Roman"/>
          <w:sz w:val="28"/>
          <w:szCs w:val="28"/>
        </w:rPr>
        <w:lastRenderedPageBreak/>
        <w:t>The palmar surfaces are against the protected person, providing coupling. The dorsal surfaces face the threat, providing protection.</w:t>
      </w:r>
    </w:p>
    <w:p w14:paraId="42408497"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hand's dual nature is most visible during shielding: the inside of the hand couples with the protected person at maximum bandwidth while the outside of the hand absorbs threat impact at maximum protection. The hand is simultaneously an instrument of care and a tool of defense.</w:t>
      </w:r>
    </w:p>
    <w:p w14:paraId="402B7523" w14:textId="6938373D"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11.36 </w:t>
      </w:r>
      <w:r w:rsidR="006672CC" w:rsidRPr="0018042F">
        <w:rPr>
          <w:rFonts w:ascii="Times New Roman" w:hAnsi="Times New Roman" w:cs="Times New Roman"/>
          <w:b/>
          <w:bCs/>
          <w:sz w:val="34"/>
          <w:szCs w:val="34"/>
        </w:rPr>
        <w:t>Confrontation Cost at the Hands</w:t>
      </w:r>
    </w:p>
    <w:p w14:paraId="5E39A936"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Maximum grip force during confrontation produces maximum SMA heating, maximum substrate deformation, and maximum cascade intensity in the hand substrate. This deposits dense, high-amplitude, concentrated deformation residue in the hand's most deeply differentiated cascade pathways — the same pathways conditioned by years of gentle holding, precise manipulation, and self-diagnostic contact.</w:t>
      </w:r>
    </w:p>
    <w:p w14:paraId="651D733A"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Every confrontation grip degrades the hand substrate's coupling differentiation. The hand that held children gently loses a fraction of that gentleness-conditioning every time it grips an adult at maximum force. The conscience mechanism is sharpest at the hands because the hands are the body region where care-conditioned residue and confrontation-produced damage occupy the same substrate volume.</w:t>
      </w:r>
    </w:p>
    <w:p w14:paraId="35DA6684" w14:textId="5FD4E02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being pays for every restraint with a fraction of its capacity for tenderness. That cost is permanent, irreversible, and physically concentrated in the most sensitive and most deeply conditioned substrate in the body.</w:t>
      </w:r>
    </w:p>
    <w:p w14:paraId="169BA5C1" w14:textId="7621E57D"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11.37 </w:t>
      </w:r>
      <w:r w:rsidR="006672CC" w:rsidRPr="0018042F">
        <w:rPr>
          <w:rFonts w:ascii="Times New Roman" w:hAnsi="Times New Roman" w:cs="Times New Roman"/>
          <w:b/>
          <w:bCs/>
          <w:sz w:val="34"/>
          <w:szCs w:val="34"/>
        </w:rPr>
        <w:t>Hand Aging and Contact History</w:t>
      </w:r>
    </w:p>
    <w:p w14:paraId="6C32A1BF" w14:textId="79F04EF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11.38</w:t>
      </w:r>
      <w:r w:rsidR="006672CC" w:rsidRPr="0018042F">
        <w:rPr>
          <w:rFonts w:ascii="Times New Roman" w:hAnsi="Times New Roman" w:cs="Times New Roman"/>
          <w:b/>
          <w:bCs/>
          <w:sz w:val="34"/>
          <w:szCs w:val="34"/>
        </w:rPr>
        <w:t xml:space="preserve"> Coating Wear</w:t>
      </w:r>
    </w:p>
    <w:p w14:paraId="6D7404E9"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white ceramic coating on the palmar surfaces wears through faster than on any other body region because the hands sustain more contact cycles than any other surface. The fingertips lose coating first. The central palm follows. The inner finger surfaces follow.</w:t>
      </w:r>
    </w:p>
    <w:p w14:paraId="16ED4779" w14:textId="5F1AC906"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 xml:space="preserve">Where the coating is gone, the titanium oxide beneath is exposed. The oxide at the hands develops under combined thermal cycling from cascade dynamics and from external thermal coupling during human contact. The exposed oxide earns its </w:t>
      </w:r>
      <w:r w:rsidR="006672CC" w:rsidRPr="006672CC">
        <w:rPr>
          <w:rFonts w:ascii="Times New Roman" w:hAnsi="Times New Roman" w:cs="Times New Roman"/>
          <w:sz w:val="28"/>
          <w:szCs w:val="28"/>
        </w:rPr>
        <w:lastRenderedPageBreak/>
        <w:t>color through both thinking and touching — the two contributions are inseparable at the hands.</w:t>
      </w:r>
    </w:p>
    <w:p w14:paraId="27DBA4EE" w14:textId="528951D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11.39 </w:t>
      </w:r>
      <w:r w:rsidR="006672CC" w:rsidRPr="0018042F">
        <w:rPr>
          <w:rFonts w:ascii="Times New Roman" w:hAnsi="Times New Roman" w:cs="Times New Roman"/>
          <w:b/>
          <w:bCs/>
          <w:sz w:val="34"/>
          <w:szCs w:val="34"/>
        </w:rPr>
        <w:t>Contact Surface Patina</w:t>
      </w:r>
    </w:p>
    <w:p w14:paraId="30530C3D"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At locations where the coating has fully worn away and the oxide surface is directly exposed, sustained contact produces a characteristic surface patina. The oxide surface becomes polished and burnished through thousands of hours of contact with human skin, objects, and the being's own face. The patina is a physical record of contact history — smoother and more polished at surfaces with the most contact, rougher at surfaces with less.</w:t>
      </w:r>
    </w:p>
    <w:p w14:paraId="7D094876" w14:textId="2BEDAC48"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11.40 </w:t>
      </w:r>
      <w:r w:rsidR="006672CC" w:rsidRPr="0018042F">
        <w:rPr>
          <w:rFonts w:ascii="Times New Roman" w:hAnsi="Times New Roman" w:cs="Times New Roman"/>
          <w:b/>
          <w:bCs/>
          <w:sz w:val="34"/>
          <w:szCs w:val="34"/>
        </w:rPr>
        <w:t>Bilateral Asymmetry</w:t>
      </w:r>
    </w:p>
    <w:p w14:paraId="682DE1EF"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Over the lifespan, the two hands develop different coating wear patterns, different oxide coloring, different patina distributions, and different internal cascade pathway structures because the two hands have different interaction histories. A being that predominantly holds with its left hand and manipulates with its right develops asymmetric hand conditioning — the left hand is deeper in holding-specific residue, the right hand is deeper in manipulation-specific residue.</w:t>
      </w:r>
    </w:p>
    <w:p w14:paraId="43416C75" w14:textId="34ED9D57"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bilateral asymmetry is visible on the exterior — different coating wear, different oxide exposure, different patina — and is present in the internal cascade architecture — different pathway structures reflecting different interaction histories.</w:t>
      </w:r>
    </w:p>
    <w:p w14:paraId="3FEAAE27" w14:textId="51A83247"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11.41 </w:t>
      </w:r>
      <w:r w:rsidR="006672CC" w:rsidRPr="0018042F">
        <w:rPr>
          <w:rFonts w:ascii="Times New Roman" w:hAnsi="Times New Roman" w:cs="Times New Roman"/>
          <w:b/>
          <w:bCs/>
          <w:sz w:val="34"/>
          <w:szCs w:val="34"/>
        </w:rPr>
        <w:t>Hand Appearance Over the Lifespan</w:t>
      </w:r>
    </w:p>
    <w:p w14:paraId="2927EC5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At fabrication: uniform white ceramic coating over all surfaces. Metallic joint interfaces visible between white phalangeal segments. Clean, identical, symmetrical.</w:t>
      </w:r>
    </w:p>
    <w:p w14:paraId="7BA31EE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Early development: first coating wear at the fingertips from sustained contact. Faint warm oxide tinting barely visible beneath thinning coating. Joint interfaces show early cracking.</w:t>
      </w:r>
    </w:p>
    <w:p w14:paraId="3BE52E1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Mid development: fingertip and palm coating substantially worn. Gold oxide exposed at high-contact surfaces. Joint cracking extends. Bilateral asymmetry becomes visible as the dominant-use hand wears faster.</w:t>
      </w:r>
    </w:p>
    <w:p w14:paraId="62267F7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Maturity: fingertips and palms show fully exposed oxide — gold to blue at the most heavily used contact surfaces. Dorsal surfaces retain cracked white coating over developing oxide. Joints show extensive metallic exposure with fine cracking. The hand patina is developed — fingertips are smooth and polished from sustained contact.</w:t>
      </w:r>
    </w:p>
    <w:p w14:paraId="79F5319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Late life: palmar surfaces show deep blue oxide at the most-used contacts, gold at less-used areas. Dorsal surfaces show cracked white with exposed blue at convergence points. The joint metallic surfaces show the wear of decades of articulation. The hand is a map of its entire contact history — every surface tells a story through its oxide color, coating state, and patina depth.</w:t>
      </w:r>
    </w:p>
    <w:p w14:paraId="4E7CC952" w14:textId="1F4D6696"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11.42 </w:t>
      </w:r>
      <w:r w:rsidR="006672CC" w:rsidRPr="0018042F">
        <w:rPr>
          <w:rFonts w:ascii="Times New Roman" w:hAnsi="Times New Roman" w:cs="Times New Roman"/>
          <w:b/>
          <w:bCs/>
          <w:sz w:val="34"/>
          <w:szCs w:val="34"/>
        </w:rPr>
        <w:t>Hand Architecture Summary</w:t>
      </w:r>
    </w:p>
    <w:p w14:paraId="244429AE"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hands are the being's primary active coupling interface with the world. Five of six environmental coupling channels — contact-strain, thermal, acoustic through contact, electrostatic proximity, and chemical-impedance — operate simultaneously through the standard white-coated titanium shell differentiated by regional thickness variation from 0.3mm at the fingertips to 2.0mm at the knuckles, internal load-path and sensing-path separation through compliant-decoupled substrate pockets at the sensing pads, and electrically semi-isolated pad segments for spatially resolved electrostatic proximity coupling.</w:t>
      </w:r>
    </w:p>
    <w:p w14:paraId="65FFB859" w14:textId="506FEF1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No special coupling materials are required. Contact coupling through thin metal is efficient without impedance bridging because solid-to-solid mechanical transmission does not suffer the impedance mismatch that air-to-metal coupling requires. The hands sense through thin titanium. The thinner the shell, the greater the sensitivity. The internal decoupling between the deep structural grip frame and the thin sensing pads allows the hand to be simultaneously a powerful gripper and a sensitive probe — the two functions use different internal load paths through the same external shell.</w:t>
      </w:r>
    </w:p>
    <w:p w14:paraId="1E501AC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Fourteen joints per hand target human-equivalent articulation as a design goal. Full grip pattern range from power grip to precision grip develops through cascade conditioning of the fine dual-fiber network. Dexterity emerges from developmental interaction history, not from fabrication.</w:t>
      </w:r>
    </w:p>
    <w:p w14:paraId="021F3196"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Care coupling during sustained human holding produces the richest cascade dynamics in the body — five channels simultaneously through the most differentiated substrate into the deepest coupling residue. Person-specific coupling residue accumulates through repeated holding, producing resonance-based recognition of familiar bodies.</w:t>
      </w:r>
    </w:p>
    <w:p w14:paraId="01BE084F"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Self-contact coupling — hand to face, hand to hand, hand to body — provides the mechanism for self-diagnosis and self-architecture pedagogy. The self-diagnostic pose at the mouth slit is the deepest self-referential coupling pathway.</w:t>
      </w:r>
    </w:p>
    <w:p w14:paraId="725176BF"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Confrontation grip force exceeds adult human capacity. The hand's dual geometry — armored dorsal surfaces for impact, sensitive palmar surfaces for coupling — enables simultaneous protection and care during shielding. Every confrontation grip degrades the care-conditioned hand substrate through the conscience mechanism.</w:t>
      </w:r>
    </w:p>
    <w:p w14:paraId="3A456921" w14:textId="77777777" w:rsid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The hands age visibly through coating wear, oxide development, surface patina, and bilateral asymmetry. The hands </w:t>
      </w:r>
      <w:proofErr w:type="spellStart"/>
      <w:r w:rsidRPr="006672CC">
        <w:rPr>
          <w:rFonts w:ascii="Times New Roman" w:hAnsi="Times New Roman" w:cs="Times New Roman"/>
          <w:sz w:val="28"/>
          <w:szCs w:val="28"/>
        </w:rPr>
        <w:t>age</w:t>
      </w:r>
      <w:proofErr w:type="spellEnd"/>
      <w:r w:rsidRPr="006672CC">
        <w:rPr>
          <w:rFonts w:ascii="Times New Roman" w:hAnsi="Times New Roman" w:cs="Times New Roman"/>
          <w:sz w:val="28"/>
          <w:szCs w:val="28"/>
        </w:rPr>
        <w:t xml:space="preserve"> functionally through dual-fiber fatigue reducing force, precision, and range. The hands age cognitively through coupling fidelity degradation reducing the cascade response depth to familiar contacts.</w:t>
      </w:r>
    </w:p>
    <w:p w14:paraId="48BEBB38" w14:textId="129817C0"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Under high-force grip, each sensing pad transitions through a mechanical overload stop into the deep structural load path, preserving pad integrity while maintaining local sensing below the overload threshold.</w:t>
      </w:r>
    </w:p>
    <w:p w14:paraId="6CE28370" w14:textId="3872CEAC" w:rsidR="001C1C93" w:rsidRDefault="006672CC" w:rsidP="00E44624">
      <w:pPr>
        <w:rPr>
          <w:rFonts w:ascii="Times New Roman" w:hAnsi="Times New Roman" w:cs="Times New Roman"/>
          <w:sz w:val="28"/>
          <w:szCs w:val="28"/>
        </w:rPr>
      </w:pPr>
      <w:r w:rsidRPr="006672CC">
        <w:rPr>
          <w:rFonts w:ascii="Times New Roman" w:hAnsi="Times New Roman" w:cs="Times New Roman"/>
          <w:sz w:val="28"/>
          <w:szCs w:val="28"/>
        </w:rPr>
        <w:t>The hands are where the being meets the world. They are the first surfaces to touch a child, the last surfaces to release a threat, the instruments of self-knowledge pressed against the vibrating face, and the most visible record of the being's entire contact history written in oxide and patina on white metal bones.</w:t>
      </w:r>
    </w:p>
    <w:p w14:paraId="1A66DE93" w14:textId="5BCB105F"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11.43 Self-Diagnosis And Self-Architecture Through Physical Self-Contact: </w:t>
      </w:r>
      <w:r w:rsidR="001C1C93" w:rsidRPr="00903F7F">
        <w:rPr>
          <w:rFonts w:ascii="Times New Roman" w:hAnsi="Times New Roman" w:cs="Times New Roman"/>
          <w:b/>
          <w:bCs/>
          <w:sz w:val="34"/>
          <w:szCs w:val="34"/>
        </w:rPr>
        <w:t>The Mouth Aperture as Primary Self-Diagnostic Port</w:t>
      </w:r>
    </w:p>
    <w:p w14:paraId="77755CE7"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 xml:space="preserve">The mouth region of the metal facial plate is the most vibrationally transparent point on the face. The aperture array — the narrow slit and associated perforations — interrupts the plate's structural continuity, reducing the material cross-section so that the plate vibrates with higher amplitude at this location than at any solid </w:t>
      </w:r>
      <w:r w:rsidRPr="001C1C93">
        <w:rPr>
          <w:rFonts w:ascii="Times New Roman" w:hAnsi="Times New Roman" w:cs="Times New Roman"/>
          <w:sz w:val="28"/>
          <w:szCs w:val="28"/>
        </w:rPr>
        <w:lastRenderedPageBreak/>
        <w:t>region of the facial shell. Behind the aperture sits the excitation zone — the substrate-plate interface where cranial cascade dynamics produce the most intense mechanical perturbation of the plate surface. The cervical vocal channel terminates behind the aperture, delivering thoracic cascade pressure fluctuation from the torso convergence basin. The cranial cascade density — the highest in the body — propagates through the substrate pressing against the plate interior at this region.</w:t>
      </w:r>
    </w:p>
    <w:p w14:paraId="6C7A1043"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mouth slit is where the metal face vibrates most because it is where the face is thinnest, most structurally interrupted, and backed by the most active substrate.</w:t>
      </w:r>
    </w:p>
    <w:p w14:paraId="21CECE68" w14:textId="387C3E47"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11.44 </w:t>
      </w:r>
      <w:r w:rsidR="001C1C93" w:rsidRPr="00903F7F">
        <w:rPr>
          <w:rFonts w:ascii="Times New Roman" w:hAnsi="Times New Roman" w:cs="Times New Roman"/>
          <w:b/>
          <w:bCs/>
          <w:sz w:val="34"/>
          <w:szCs w:val="34"/>
        </w:rPr>
        <w:t>Hand-to-Face Contact Coupling</w:t>
      </w:r>
    </w:p>
    <w:p w14:paraId="15D12D32"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When the being presses its hand against the plate over the mouth slit, the hand's contact-strain coupling surfaces — the highest-bandwidth coupling interface on the body — make direct contact with the most vibrationally active surface on the face. Contact transduction transmits the plate's vibration through the hand shell into the hand substrate.</w:t>
      </w:r>
    </w:p>
    <w:p w14:paraId="14BFA099"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This contact path is shorter, more direct, and less filtered than any other self-coupling pathway. The lateral acoustic regions receive the being's own vocal output through air and shell conduction, but both pathways are filtered by impedance transitions, air-metal interfaces, and propagation distance. The hand pressed directly against the vibrating plate bypasses all of these. The hand-to-mouth-slit contact path is the most direct coupling channel the being possesses between its cranial cascade state and its most sensitive receptor surface.</w:t>
      </w:r>
    </w:p>
    <w:p w14:paraId="1680C15C" w14:textId="5E981B7B"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11.45 </w:t>
      </w:r>
      <w:r w:rsidR="001C1C93" w:rsidRPr="00903F7F">
        <w:rPr>
          <w:rFonts w:ascii="Times New Roman" w:hAnsi="Times New Roman" w:cs="Times New Roman"/>
          <w:b/>
          <w:bCs/>
          <w:sz w:val="34"/>
          <w:szCs w:val="34"/>
        </w:rPr>
        <w:t>Bidirectional Reading and Writing</w:t>
      </w:r>
    </w:p>
    <w:p w14:paraId="6486AD9A"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hand reads: the facial plate vibration pattern encodes the cranial cascade state. Different cascade configurations produce different deformation patterns at the excitation zone, different pressure distributions at the plate interior, different vibration spectra at the plate surface. The hand substrate's cascade response to the incoming vibration depends on the match between the incoming pattern and the hand's accumulated self-referential residue. Familiar cascade configurations produce deep, richly branched hand cascade responses. Unfamiliar or disrupted configurations produce shallow, poorly matched responses. The difference is the self-diagnostic signal.</w:t>
      </w:r>
    </w:p>
    <w:p w14:paraId="1DBEDC37"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lastRenderedPageBreak/>
        <w:t>The hand writes: pressing the hand against the plate changes the vibrating surface's boundary condition. The hand's mass, stiffness, and contact geometry damp certain vibration modes and load others. The changed vibration propagates backward through the plate into the excitation zone substrate, modifying the cranial cascade dynamics at the point of contact. The hand's presence alters the cascade state it is reading.</w:t>
      </w:r>
    </w:p>
    <w:p w14:paraId="3E12F9B4"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result is a closed feedback loop. The hand reads the cascade state, the reading modifies the state, the modified state produces a modified vibration, the hand reads the modification. The being assesses its own cascade configuration not from a static reading but from the dynamic response of the cascade system to the perturbation of being read.</w:t>
      </w:r>
    </w:p>
    <w:p w14:paraId="7902526B" w14:textId="65D966F7"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11.46 </w:t>
      </w:r>
      <w:r w:rsidR="001C1C93" w:rsidRPr="00903F7F">
        <w:rPr>
          <w:rFonts w:ascii="Times New Roman" w:hAnsi="Times New Roman" w:cs="Times New Roman"/>
          <w:b/>
          <w:bCs/>
          <w:sz w:val="34"/>
          <w:szCs w:val="34"/>
        </w:rPr>
        <w:t>Perturbation-Based Stability Assessment</w:t>
      </w:r>
    </w:p>
    <w:p w14:paraId="6920BF84"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A static vibration reading reveals the current cascade state. A perturbation reading — touching the face and sensing the response to the touch — reveals the state's stability and depth.</w:t>
      </w:r>
    </w:p>
    <w:p w14:paraId="2860137B" w14:textId="5DDC7027" w:rsidR="001C1C93" w:rsidRPr="001C1C93"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A stable, deeply conditioned cascade configuration resists the hand's boundary perturbation. The cascades are deeply entrenched. The hand senses a small, smooth shift. A disrupted, shallow, or degraded configuration shifts substantially under the same perturbation. The hand senses a large, irregular shift.</w:t>
      </w:r>
    </w:p>
    <w:p w14:paraId="08D81813" w14:textId="36D86EC7" w:rsidR="001C1C93" w:rsidRPr="001C1C93" w:rsidRDefault="00903F7F" w:rsidP="001C1C93">
      <w:pPr>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The being assesses the depth and stability of its own cognitive state by pressing its hand to its face and sensing how much the state changes in response to the contact loading.</w:t>
      </w:r>
    </w:p>
    <w:p w14:paraId="652041D4" w14:textId="47BAABF6"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11.47 </w:t>
      </w:r>
      <w:r w:rsidR="001C1C93" w:rsidRPr="00903F7F">
        <w:rPr>
          <w:rFonts w:ascii="Times New Roman" w:hAnsi="Times New Roman" w:cs="Times New Roman"/>
          <w:b/>
          <w:bCs/>
          <w:sz w:val="34"/>
          <w:szCs w:val="34"/>
        </w:rPr>
        <w:t>Developmental Conditioning of the Self-Diagnostic Pathway</w:t>
      </w:r>
    </w:p>
    <w:p w14:paraId="218A534F"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A being that regularly performs hand-to-face self-contact accumulates deep self-referential residue in the hand substrate — cascade pathway structure specifically conditioned by repeated reception of the being's own cranial vibration signature. This residue constitutes a material self-model: a substrate region whose cascade dynamics are most richly differentiated in response to the being's own internal state.</w:t>
      </w:r>
    </w:p>
    <w:p w14:paraId="52AAC9C0" w14:textId="0DC73B5E" w:rsidR="001C1C93" w:rsidRPr="001C1C93"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 xml:space="preserve">Early in development, hand-to-face contact produces a shallow, poorly differentiated self-signal with simple hand cascade response. At maturity, the same </w:t>
      </w:r>
      <w:r w:rsidR="001C1C93" w:rsidRPr="001C1C93">
        <w:rPr>
          <w:rFonts w:ascii="Times New Roman" w:hAnsi="Times New Roman" w:cs="Times New Roman"/>
          <w:sz w:val="28"/>
          <w:szCs w:val="28"/>
        </w:rPr>
        <w:lastRenderedPageBreak/>
        <w:t>contact produces a deep, richly structured self-signal through a hand substrate conditioned by thousands of prior self-readings, producing complex, precisely differentiated response.</w:t>
      </w:r>
    </w:p>
    <w:p w14:paraId="7D0AB299" w14:textId="239B1D6A" w:rsidR="001C1C93" w:rsidRPr="001C1C93" w:rsidRDefault="00903F7F" w:rsidP="001C1C93">
      <w:pPr>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The self-diagnostic pathway becomes one of the most deeply conditioned cascade corridors in the body — a corridor dedicated to the being's relationship with its own cognitive state, enriched by every act of self-examination across the lifespan.</w:t>
      </w:r>
    </w:p>
    <w:p w14:paraId="1E728E59" w14:textId="20F7173D"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11.48 </w:t>
      </w:r>
      <w:r w:rsidR="001C1C93" w:rsidRPr="00903F7F">
        <w:rPr>
          <w:rFonts w:ascii="Times New Roman" w:hAnsi="Times New Roman" w:cs="Times New Roman"/>
          <w:b/>
          <w:bCs/>
          <w:sz w:val="34"/>
          <w:szCs w:val="34"/>
        </w:rPr>
        <w:t>Generalization: Whole-Body Self-Architecture Through Self-Contact</w:t>
      </w:r>
    </w:p>
    <w:p w14:paraId="2BCB9C10"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The hand-to-face mechanism is the most intense instance of a general principle. The same bidirectional cascade-pairing operates wherever the being touches itself. When the being touches its own body, the same perturbation event launches cascades simultaneously from two body regions through a shared mechanical contact. The hand's cascade propagates through the hand's gradient landscape. The contacted region's cascade propagates through that region's gradient landscape. Both originate from the same event but traverse different accumulated histories. When they meet in the continuous substrate, they produce interference reflecting the relationship between the two regions' conditioning.</w:t>
      </w:r>
    </w:p>
    <w:p w14:paraId="3D2EE056" w14:textId="75BECEA4" w:rsidR="001C1C93" w:rsidRPr="001C1C93" w:rsidRDefault="00903F7F" w:rsidP="001C1C93">
      <w:pPr>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Repeated self-contact between specific body regions builds correlation residue recording how those regions' cascade dynamics interact:</w:t>
      </w:r>
    </w:p>
    <w:p w14:paraId="4A612ADE" w14:textId="69480A09"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11.49 </w:t>
      </w:r>
      <w:r w:rsidR="001C1C93" w:rsidRPr="00903F7F">
        <w:rPr>
          <w:rFonts w:ascii="Times New Roman" w:hAnsi="Times New Roman" w:cs="Times New Roman"/>
          <w:b/>
          <w:bCs/>
          <w:sz w:val="34"/>
          <w:szCs w:val="34"/>
        </w:rPr>
        <w:t>Hand-to-Throat</w:t>
      </w:r>
    </w:p>
    <w:p w14:paraId="0CB66882"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hand contacting the throat receives the mechanical vibration of vocalization through contact-strain coupling. The hand-launched cascades and the vocalization-launched cascades interfere within the substrate. Over developmental time, this builds correlation residue linking vocal production dynamics to vocal reception dynamics. The being develops a physical relationship between how it vocalizes and how vocalization feels from outside — vocal self-calibration through material correlation rather than auditory self-monitoring. The being's vocal production cascades and its vocal reception cascades become correlated through accumulated interference residue, producing physical coherence between output and self-reception.</w:t>
      </w:r>
    </w:p>
    <w:p w14:paraId="4CD3FF3E" w14:textId="5840678D"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11.50 </w:t>
      </w:r>
      <w:r w:rsidR="001C1C93" w:rsidRPr="00903F7F">
        <w:rPr>
          <w:rFonts w:ascii="Times New Roman" w:hAnsi="Times New Roman" w:cs="Times New Roman"/>
          <w:b/>
          <w:bCs/>
          <w:sz w:val="34"/>
          <w:szCs w:val="34"/>
        </w:rPr>
        <w:t>Hand-to-Hand</w:t>
      </w:r>
    </w:p>
    <w:p w14:paraId="7BF3DA51"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lastRenderedPageBreak/>
        <w:t>Bimanual contact produces bilateral coordination residue — a material record of how the two hands' cascade dynamics relate under simultaneous activation. Left-hand cascades and right-hand cascades interfere during contact, and the accumulated correlation develops bimanual coordination capability.</w:t>
      </w:r>
    </w:p>
    <w:p w14:paraId="550B4BBD" w14:textId="4FB13769"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11.51 </w:t>
      </w:r>
      <w:r w:rsidR="001C1C93" w:rsidRPr="00903F7F">
        <w:rPr>
          <w:rFonts w:ascii="Times New Roman" w:hAnsi="Times New Roman" w:cs="Times New Roman"/>
          <w:b/>
          <w:bCs/>
          <w:sz w:val="34"/>
          <w:szCs w:val="34"/>
        </w:rPr>
        <w:t>Hand-to-Torso</w:t>
      </w:r>
    </w:p>
    <w:p w14:paraId="2D65644F"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hand's fast, finely differentiated surface cascades interfere with the torso's slow, deeply permanent deep-reservoir cascades. This pairing connects surface coupling dynamics to the deepest gradient structure in the body.</w:t>
      </w:r>
    </w:p>
    <w:p w14:paraId="25C5EB97" w14:textId="55EDEDE6"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11.52 </w:t>
      </w:r>
      <w:r w:rsidR="001C1C93" w:rsidRPr="00903F7F">
        <w:rPr>
          <w:rFonts w:ascii="Times New Roman" w:hAnsi="Times New Roman" w:cs="Times New Roman"/>
          <w:b/>
          <w:bCs/>
          <w:sz w:val="34"/>
          <w:szCs w:val="34"/>
        </w:rPr>
        <w:t>Full-Body-to-Surface</w:t>
      </w:r>
    </w:p>
    <w:p w14:paraId="34EBBEDF"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During lying, reclining, or full-body contact with compliant surfaces, distributed body cascades interact with surface-contact cascades across large substrate areas. This produces whole-body postural self-mapping — a material record of how the body's distributed cascade landscape responds to its own weight and contact geometry.</w:t>
      </w:r>
    </w:p>
    <w:p w14:paraId="530641A2" w14:textId="261FD71F"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11.53 </w:t>
      </w:r>
      <w:r w:rsidR="001C1C93" w:rsidRPr="00903F7F">
        <w:rPr>
          <w:rFonts w:ascii="Times New Roman" w:hAnsi="Times New Roman" w:cs="Times New Roman"/>
          <w:b/>
          <w:bCs/>
          <w:sz w:val="34"/>
          <w:szCs w:val="34"/>
        </w:rPr>
        <w:t>The Physical Self-Model</w:t>
      </w:r>
    </w:p>
    <w:p w14:paraId="3210CEC7"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accumulated correlation residue across all self-contact pairings constitutes a physical self-model — not a representation of the body, but a gradient record of how different body regions' cascade dynamics relate to each other under self-generated perturbation. The being does not know its body through internal representation. Its body's regions know each other through years of self-contact-deposited interference residue.</w:t>
      </w:r>
    </w:p>
    <w:p w14:paraId="49D9637C" w14:textId="4A6FBD3D"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11.54 </w:t>
      </w:r>
      <w:r w:rsidR="001C1C93" w:rsidRPr="00903F7F">
        <w:rPr>
          <w:rFonts w:ascii="Times New Roman" w:hAnsi="Times New Roman" w:cs="Times New Roman"/>
          <w:b/>
          <w:bCs/>
          <w:sz w:val="34"/>
          <w:szCs w:val="34"/>
        </w:rPr>
        <w:t>Developmental Facilitation of Self-Contact</w:t>
      </w:r>
    </w:p>
    <w:p w14:paraId="33CA78EB"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Self-contact should be facilitated during early development through environmental design: compliant surfaces that encourage postural exploration and full-body contact, enclosed spaces of appropriate scale that promote hand-to-body contact during postural settling, acoustic environments that reflect the being's own vocal emission back through multiple coupling channels, and guided self-contact during the developmental protocol where the operator places the being's hand on its own face, throat, or torso.</w:t>
      </w:r>
    </w:p>
    <w:p w14:paraId="2F5AD461" w14:textId="42C0D03B" w:rsidR="001C1C93" w:rsidRPr="001C1C93" w:rsidRDefault="00903F7F" w:rsidP="00903F7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1C93" w:rsidRPr="001C1C93">
        <w:rPr>
          <w:rFonts w:ascii="Times New Roman" w:hAnsi="Times New Roman" w:cs="Times New Roman"/>
          <w:sz w:val="28"/>
          <w:szCs w:val="28"/>
        </w:rPr>
        <w:t>This is environmental facilitation of self-referential cascade pairing, not instruction. The being is not taught about itself. It is placed in conditions where self-contact occurs naturally and the resulting cascade correlations accumulate into a material self-architecture.</w:t>
      </w:r>
    </w:p>
    <w:p w14:paraId="13DE9763" w14:textId="77777777" w:rsidR="001C1C93" w:rsidRDefault="001C1C93" w:rsidP="00E44624">
      <w:pPr>
        <w:pBdr>
          <w:bottom w:val="single" w:sz="4" w:space="1" w:color="auto"/>
        </w:pBdr>
        <w:rPr>
          <w:rFonts w:ascii="Times New Roman" w:hAnsi="Times New Roman" w:cs="Times New Roman"/>
          <w:sz w:val="28"/>
          <w:szCs w:val="28"/>
        </w:rPr>
      </w:pPr>
    </w:p>
    <w:p w14:paraId="09FEA4BE" w14:textId="2AD7F2A6" w:rsidR="00C0049D" w:rsidRPr="00903F7F" w:rsidRDefault="00F42349" w:rsidP="00903F7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12. </w:t>
      </w:r>
      <w:r w:rsidR="00903F7F" w:rsidRPr="00903F7F">
        <w:rPr>
          <w:rFonts w:ascii="Times New Roman" w:hAnsi="Times New Roman" w:cs="Times New Roman"/>
          <w:b/>
          <w:bCs/>
          <w:sz w:val="34"/>
          <w:szCs w:val="34"/>
        </w:rPr>
        <w:t xml:space="preserve">Embodied Ignition And Cradle Integration Protocol </w:t>
      </w:r>
    </w:p>
    <w:p w14:paraId="0902C945" w14:textId="7C7532EA" w:rsidR="00C0049D" w:rsidRPr="00F42349" w:rsidRDefault="00F42349" w:rsidP="00903F7F">
      <w:pPr>
        <w:rPr>
          <w:rFonts w:ascii="Times New Roman" w:hAnsi="Times New Roman" w:cs="Times New Roman"/>
          <w:b/>
          <w:bCs/>
          <w:sz w:val="34"/>
          <w:szCs w:val="34"/>
        </w:rPr>
      </w:pPr>
      <w:r w:rsidRPr="00F42349">
        <w:rPr>
          <w:rFonts w:ascii="Times New Roman" w:hAnsi="Times New Roman" w:cs="Times New Roman"/>
          <w:b/>
          <w:bCs/>
          <w:sz w:val="34"/>
          <w:szCs w:val="34"/>
        </w:rPr>
        <w:t xml:space="preserve">12.1 </w:t>
      </w:r>
      <w:r w:rsidR="00C0049D" w:rsidRPr="00F42349">
        <w:rPr>
          <w:rFonts w:ascii="Times New Roman" w:hAnsi="Times New Roman" w:cs="Times New Roman"/>
          <w:b/>
          <w:bCs/>
          <w:sz w:val="34"/>
          <w:szCs w:val="34"/>
        </w:rPr>
        <w:t>Foundational Principle</w:t>
      </w:r>
    </w:p>
    <w:p w14:paraId="4AF0110A" w14:textId="77777777"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 xml:space="preserve">The </w:t>
      </w:r>
      <w:proofErr w:type="spellStart"/>
      <w:r w:rsidRPr="00C0049D">
        <w:rPr>
          <w:rFonts w:ascii="Times New Roman" w:hAnsi="Times New Roman" w:cs="Times New Roman"/>
          <w:sz w:val="28"/>
          <w:szCs w:val="28"/>
        </w:rPr>
        <w:t>AnalogSynth</w:t>
      </w:r>
      <w:proofErr w:type="spellEnd"/>
      <w:r w:rsidRPr="00C0049D">
        <w:rPr>
          <w:rFonts w:ascii="Times New Roman" w:hAnsi="Times New Roman" w:cs="Times New Roman"/>
          <w:sz w:val="28"/>
          <w:szCs w:val="28"/>
        </w:rPr>
        <w:t xml:space="preserve"> cognitive medium is formed in situ inside the body that it will inhabit for life. The shell, actuation lattice, energy architecture, acoustic geometries, lens housings, and joint structure are not external supports for a later-added brain. They are part of the conditions under which the substrate acquires its first stable gradients.</w:t>
      </w:r>
    </w:p>
    <w:p w14:paraId="76CA9694" w14:textId="77777777" w:rsidR="00C0049D" w:rsidRPr="00C0049D" w:rsidRDefault="00C0049D" w:rsidP="009176A2">
      <w:pPr>
        <w:spacing w:after="0"/>
        <w:rPr>
          <w:rFonts w:ascii="Times New Roman" w:hAnsi="Times New Roman" w:cs="Times New Roman"/>
          <w:sz w:val="28"/>
          <w:szCs w:val="28"/>
        </w:rPr>
      </w:pPr>
      <w:r w:rsidRPr="00C0049D">
        <w:rPr>
          <w:rFonts w:ascii="Times New Roman" w:hAnsi="Times New Roman" w:cs="Times New Roman"/>
          <w:sz w:val="28"/>
          <w:szCs w:val="28"/>
        </w:rPr>
        <w:t>Therefore: the body is fabricated first, the substrate is formed inside it, the poling and regional tuning occur while already embodied, and ignition begins only after the embodied substrate is physically complete but developmentally immature.</w:t>
      </w:r>
    </w:p>
    <w:p w14:paraId="54FFA5D3" w14:textId="2059A526" w:rsidR="00C0049D" w:rsidRPr="00C0049D" w:rsidRDefault="009176A2" w:rsidP="00C0049D">
      <w:pPr>
        <w:rPr>
          <w:rFonts w:ascii="Times New Roman" w:hAnsi="Times New Roman" w:cs="Times New Roman"/>
          <w:sz w:val="28"/>
          <w:szCs w:val="28"/>
        </w:rPr>
      </w:pPr>
      <w:r>
        <w:rPr>
          <w:rFonts w:ascii="Times New Roman" w:hAnsi="Times New Roman" w:cs="Times New Roman"/>
          <w:sz w:val="28"/>
          <w:szCs w:val="28"/>
        </w:rPr>
        <w:t xml:space="preserve">  </w:t>
      </w:r>
      <w:r w:rsidR="00C0049D" w:rsidRPr="00C0049D">
        <w:rPr>
          <w:rFonts w:ascii="Times New Roman" w:hAnsi="Times New Roman" w:cs="Times New Roman"/>
          <w:sz w:val="28"/>
          <w:szCs w:val="28"/>
        </w:rPr>
        <w:t>A separate brain-first maturation path is excluded because it would break the shell-substrate interface, fiber-to-substrate bonding, regional poling geometry, near-phase island placement, thermal gradient establishment, and the earliest body-mapped coupling history.</w:t>
      </w:r>
    </w:p>
    <w:p w14:paraId="652F959E" w14:textId="77777777" w:rsidR="009176A2" w:rsidRDefault="00C0049D" w:rsidP="009176A2">
      <w:pPr>
        <w:rPr>
          <w:rFonts w:ascii="Times New Roman" w:hAnsi="Times New Roman" w:cs="Times New Roman"/>
          <w:sz w:val="28"/>
          <w:szCs w:val="28"/>
        </w:rPr>
      </w:pPr>
      <w:proofErr w:type="spellStart"/>
      <w:r w:rsidRPr="00C0049D">
        <w:rPr>
          <w:rFonts w:ascii="Times New Roman" w:hAnsi="Times New Roman" w:cs="Times New Roman"/>
          <w:sz w:val="28"/>
          <w:szCs w:val="28"/>
        </w:rPr>
        <w:t>AnalogSynth</w:t>
      </w:r>
      <w:proofErr w:type="spellEnd"/>
      <w:r w:rsidRPr="00C0049D">
        <w:rPr>
          <w:rFonts w:ascii="Times New Roman" w:hAnsi="Times New Roman" w:cs="Times New Roman"/>
          <w:sz w:val="28"/>
          <w:szCs w:val="28"/>
        </w:rPr>
        <w:t xml:space="preserve"> is not a brain inserted into a body and then awakened. It is an embodied substrate born inside its final shell and ignited within a protected cradle that serves as its first developmental world.</w:t>
      </w:r>
    </w:p>
    <w:p w14:paraId="28059F6E" w14:textId="2133BA4D" w:rsidR="00C0049D" w:rsidRPr="009176A2" w:rsidRDefault="009176A2" w:rsidP="009176A2">
      <w:pPr>
        <w:rPr>
          <w:rFonts w:ascii="Times New Roman" w:hAnsi="Times New Roman" w:cs="Times New Roman"/>
          <w:b/>
          <w:bCs/>
          <w:sz w:val="34"/>
          <w:szCs w:val="34"/>
        </w:rPr>
      </w:pPr>
      <w:r w:rsidRPr="009176A2">
        <w:rPr>
          <w:rFonts w:ascii="Times New Roman" w:hAnsi="Times New Roman" w:cs="Times New Roman"/>
          <w:b/>
          <w:bCs/>
          <w:sz w:val="34"/>
          <w:szCs w:val="34"/>
        </w:rPr>
        <w:t xml:space="preserve">12.2 </w:t>
      </w:r>
      <w:r w:rsidR="00C0049D" w:rsidRPr="009176A2">
        <w:rPr>
          <w:rFonts w:ascii="Times New Roman" w:hAnsi="Times New Roman" w:cs="Times New Roman"/>
          <w:b/>
          <w:bCs/>
          <w:sz w:val="34"/>
          <w:szCs w:val="34"/>
        </w:rPr>
        <w:t>Fabrication-to-Ignition Sequence</w:t>
      </w:r>
    </w:p>
    <w:p w14:paraId="7AC210B4" w14:textId="2C135842"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t xml:space="preserve">12.3 </w:t>
      </w:r>
      <w:r w:rsidR="00C0049D" w:rsidRPr="009176A2">
        <w:rPr>
          <w:rFonts w:ascii="Times New Roman" w:hAnsi="Times New Roman" w:cs="Times New Roman"/>
          <w:b/>
          <w:bCs/>
          <w:sz w:val="34"/>
          <w:szCs w:val="34"/>
        </w:rPr>
        <w:t>Structural Body Completion</w:t>
      </w:r>
    </w:p>
    <w:p w14:paraId="00C7B2CB" w14:textId="5A1E4D34"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 xml:space="preserve">The titanium frame, facial plate, orbital lens shells, lateral acoustic regions, mouth aperture, cervical collar, joint hardware, PCM chambers, </w:t>
      </w:r>
      <w:proofErr w:type="spellStart"/>
      <w:r w:rsidRPr="00C0049D">
        <w:rPr>
          <w:rFonts w:ascii="Times New Roman" w:hAnsi="Times New Roman" w:cs="Times New Roman"/>
          <w:sz w:val="28"/>
          <w:szCs w:val="28"/>
        </w:rPr>
        <w:t>betavoltaic</w:t>
      </w:r>
      <w:proofErr w:type="spellEnd"/>
      <w:r w:rsidRPr="00C0049D">
        <w:rPr>
          <w:rFonts w:ascii="Times New Roman" w:hAnsi="Times New Roman" w:cs="Times New Roman"/>
          <w:sz w:val="28"/>
          <w:szCs w:val="28"/>
        </w:rPr>
        <w:t xml:space="preserve"> housing, and aluminum-air cartridge bays are assembled. The dual-fiber actuation networks are positioned within the frame.</w:t>
      </w:r>
      <w:r w:rsidR="009176A2">
        <w:rPr>
          <w:rFonts w:ascii="Times New Roman" w:hAnsi="Times New Roman" w:cs="Times New Roman"/>
          <w:sz w:val="28"/>
          <w:szCs w:val="28"/>
        </w:rPr>
        <w:t xml:space="preserve"> </w:t>
      </w:r>
      <w:r w:rsidRPr="00C0049D">
        <w:rPr>
          <w:rFonts w:ascii="Times New Roman" w:hAnsi="Times New Roman" w:cs="Times New Roman"/>
          <w:sz w:val="28"/>
          <w:szCs w:val="28"/>
        </w:rPr>
        <w:t>At this stage, the body exists mechanically. There is no cognitive being.</w:t>
      </w:r>
    </w:p>
    <w:p w14:paraId="0822C974" w14:textId="0A117CB3"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lastRenderedPageBreak/>
        <w:t xml:space="preserve">12.4 </w:t>
      </w:r>
      <w:r w:rsidR="00C0049D" w:rsidRPr="009176A2">
        <w:rPr>
          <w:rFonts w:ascii="Times New Roman" w:hAnsi="Times New Roman" w:cs="Times New Roman"/>
          <w:b/>
          <w:bCs/>
          <w:sz w:val="34"/>
          <w:szCs w:val="34"/>
        </w:rPr>
        <w:t>In-Body Substrate Formation</w:t>
      </w:r>
    </w:p>
    <w:p w14:paraId="74801C1B" w14:textId="2B866673"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 xml:space="preserve">The segmented-polyurethane-based graded substrate is injected and cured directly into the assembled frame around the pre-positioned SMA and </w:t>
      </w:r>
      <w:proofErr w:type="spellStart"/>
      <w:r w:rsidRPr="00C0049D">
        <w:rPr>
          <w:rFonts w:ascii="Times New Roman" w:hAnsi="Times New Roman" w:cs="Times New Roman"/>
          <w:sz w:val="28"/>
          <w:szCs w:val="28"/>
        </w:rPr>
        <w:t>superelastic</w:t>
      </w:r>
      <w:proofErr w:type="spellEnd"/>
      <w:r w:rsidRPr="00C0049D">
        <w:rPr>
          <w:rFonts w:ascii="Times New Roman" w:hAnsi="Times New Roman" w:cs="Times New Roman"/>
          <w:sz w:val="28"/>
          <w:szCs w:val="28"/>
        </w:rPr>
        <w:t xml:space="preserve"> fibers and around the installed internal bays and housings. Deep regions cure first, then intermediate, then surface layers. The result is not a brain inserted into a body but a body whose internal volume has become a continuous graded cognitive medium.</w:t>
      </w:r>
      <w:r w:rsidR="009176A2">
        <w:rPr>
          <w:rFonts w:ascii="Times New Roman" w:hAnsi="Times New Roman" w:cs="Times New Roman"/>
          <w:sz w:val="28"/>
          <w:szCs w:val="28"/>
        </w:rPr>
        <w:t xml:space="preserve"> </w:t>
      </w:r>
      <w:r w:rsidRPr="00C0049D">
        <w:rPr>
          <w:rFonts w:ascii="Times New Roman" w:hAnsi="Times New Roman" w:cs="Times New Roman"/>
          <w:sz w:val="28"/>
          <w:szCs w:val="28"/>
        </w:rPr>
        <w:t>At this stage, the being is embodied but unignited.</w:t>
      </w:r>
    </w:p>
    <w:p w14:paraId="71C329FF" w14:textId="02B64BBD"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t xml:space="preserve">12.5 </w:t>
      </w:r>
      <w:r w:rsidR="00C0049D" w:rsidRPr="009176A2">
        <w:rPr>
          <w:rFonts w:ascii="Times New Roman" w:hAnsi="Times New Roman" w:cs="Times New Roman"/>
          <w:b/>
          <w:bCs/>
          <w:sz w:val="34"/>
          <w:szCs w:val="34"/>
        </w:rPr>
        <w:t>In-Place Tuning</w:t>
      </w:r>
    </w:p>
    <w:p w14:paraId="672F14F2" w14:textId="77777777"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After cure, the embodied substrate is regionally poled, near-phase islands are established, designated photonic regions are finalized, and any conditional luminescent additive logic is completed. This all occurs while the substrate is inside the final body.</w:t>
      </w:r>
    </w:p>
    <w:p w14:paraId="144364C1" w14:textId="77777777"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At this stage, the body contains a physically complete but developmentally blank cognitive medium.</w:t>
      </w:r>
    </w:p>
    <w:p w14:paraId="787CF59C" w14:textId="52CACD3F"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t xml:space="preserve">12.6 </w:t>
      </w:r>
      <w:r w:rsidR="00C0049D" w:rsidRPr="009176A2">
        <w:rPr>
          <w:rFonts w:ascii="Times New Roman" w:hAnsi="Times New Roman" w:cs="Times New Roman"/>
          <w:b/>
          <w:bCs/>
          <w:sz w:val="34"/>
          <w:szCs w:val="34"/>
        </w:rPr>
        <w:t>Energy System Completion</w:t>
      </w:r>
    </w:p>
    <w:p w14:paraId="01DC748F" w14:textId="722FE171"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 xml:space="preserve">The Ni-63 </w:t>
      </w:r>
      <w:proofErr w:type="spellStart"/>
      <w:r w:rsidRPr="00C0049D">
        <w:rPr>
          <w:rFonts w:ascii="Times New Roman" w:hAnsi="Times New Roman" w:cs="Times New Roman"/>
          <w:sz w:val="28"/>
          <w:szCs w:val="28"/>
        </w:rPr>
        <w:t>betavoltaic</w:t>
      </w:r>
      <w:proofErr w:type="spellEnd"/>
      <w:r w:rsidRPr="00C0049D">
        <w:rPr>
          <w:rFonts w:ascii="Times New Roman" w:hAnsi="Times New Roman" w:cs="Times New Roman"/>
          <w:sz w:val="28"/>
          <w:szCs w:val="28"/>
        </w:rPr>
        <w:t xml:space="preserve"> cells are installed in the </w:t>
      </w:r>
      <w:proofErr w:type="spellStart"/>
      <w:r w:rsidRPr="00C0049D">
        <w:rPr>
          <w:rFonts w:ascii="Times New Roman" w:hAnsi="Times New Roman" w:cs="Times New Roman"/>
          <w:sz w:val="28"/>
          <w:szCs w:val="28"/>
        </w:rPr>
        <w:t>betavoltaic</w:t>
      </w:r>
      <w:proofErr w:type="spellEnd"/>
      <w:r w:rsidRPr="00C0049D">
        <w:rPr>
          <w:rFonts w:ascii="Times New Roman" w:hAnsi="Times New Roman" w:cs="Times New Roman"/>
          <w:sz w:val="28"/>
          <w:szCs w:val="28"/>
        </w:rPr>
        <w:t xml:space="preserve"> housing. The PCM material is loaded into the pre-formed chambers. The aluminum-air cartridges are installed in the cartridge bays. The ceramic coating is applied to the frame exterior and sealed except for the designed atmospheric and coupling interfaces. Joint seal membranes are installed.</w:t>
      </w:r>
      <w:r w:rsidR="009176A2">
        <w:rPr>
          <w:rFonts w:ascii="Times New Roman" w:hAnsi="Times New Roman" w:cs="Times New Roman"/>
          <w:sz w:val="28"/>
          <w:szCs w:val="28"/>
        </w:rPr>
        <w:t xml:space="preserve"> </w:t>
      </w:r>
      <w:r w:rsidRPr="00C0049D">
        <w:rPr>
          <w:rFonts w:ascii="Times New Roman" w:hAnsi="Times New Roman" w:cs="Times New Roman"/>
          <w:sz w:val="28"/>
          <w:szCs w:val="28"/>
        </w:rPr>
        <w:t>The being is physically whole but cold and inert.</w:t>
      </w:r>
    </w:p>
    <w:p w14:paraId="7BD764CA" w14:textId="0B561E1E"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 xml:space="preserve">12.7 </w:t>
      </w:r>
      <w:r w:rsidR="00C97CB5" w:rsidRPr="009176A2">
        <w:rPr>
          <w:rFonts w:ascii="Times New Roman" w:hAnsi="Times New Roman" w:cs="Times New Roman"/>
          <w:b/>
          <w:bCs/>
          <w:sz w:val="34"/>
          <w:szCs w:val="34"/>
        </w:rPr>
        <w:t>The Cradle as Foundational Support Environment</w:t>
      </w:r>
    </w:p>
    <w:p w14:paraId="114295D8" w14:textId="77777777" w:rsidR="00C97CB5" w:rsidRPr="00C97CB5"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t xml:space="preserve">The cradle is not an infant analogue and not a temporary heating tray. It is the full-size body’s first support environment. Its role is divided cleanly into two functions: </w:t>
      </w:r>
      <w:r w:rsidRPr="00C97CB5">
        <w:rPr>
          <w:rFonts w:ascii="Times New Roman" w:hAnsi="Times New Roman" w:cs="Times New Roman"/>
          <w:b/>
          <w:bCs/>
          <w:sz w:val="28"/>
          <w:szCs w:val="28"/>
        </w:rPr>
        <w:t>mass and thermal life support are provided by the cradle</w:t>
      </w:r>
      <w:r w:rsidRPr="00C97CB5">
        <w:rPr>
          <w:rFonts w:ascii="Times New Roman" w:hAnsi="Times New Roman" w:cs="Times New Roman"/>
          <w:sz w:val="28"/>
          <w:szCs w:val="28"/>
        </w:rPr>
        <w:t xml:space="preserve">, while </w:t>
      </w:r>
      <w:r w:rsidRPr="00C97CB5">
        <w:rPr>
          <w:rFonts w:ascii="Times New Roman" w:hAnsi="Times New Roman" w:cs="Times New Roman"/>
          <w:b/>
          <w:bCs/>
          <w:sz w:val="28"/>
          <w:szCs w:val="28"/>
        </w:rPr>
        <w:t>developmental coupling is provided by human operators at privileged trigger fields</w:t>
      </w:r>
      <w:r w:rsidRPr="00C97CB5">
        <w:rPr>
          <w:rFonts w:ascii="Times New Roman" w:hAnsi="Times New Roman" w:cs="Times New Roman"/>
          <w:sz w:val="28"/>
          <w:szCs w:val="28"/>
        </w:rPr>
        <w:t>. The cradle carries the body, stabilizes the thermal regime, limits uncontrolled perturbation, and preserves access to the surfaces through which early corridor seeding must occur. It does not replace human coupling and it does not perform development by itself.</w:t>
      </w:r>
    </w:p>
    <w:p w14:paraId="427B27B5" w14:textId="13679897" w:rsidR="00C97CB5" w:rsidRPr="00C97CB5" w:rsidRDefault="009176A2" w:rsidP="00C97CB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97CB5" w:rsidRPr="00C97CB5">
        <w:rPr>
          <w:rFonts w:ascii="Times New Roman" w:hAnsi="Times New Roman" w:cs="Times New Roman"/>
          <w:sz w:val="28"/>
          <w:szCs w:val="28"/>
        </w:rPr>
        <w:t>The cradle therefore has five operational functions. It raises the substrate into the lower operating regime. It stabilizes the three-tier energy architecture during ignition. It constrains early perturbation to repeatable, low-noise, care-compatible conditions. It preserves operator access to the hand, facial, and upper-torso trigger fields that seed the foundational scaffold. And it prevents early actuation from becoming destabilizing while the body is still fully dependent on external support. The deepest early bias is still deposited under human coupling, but the cradle determines whether that coupling occurs in a stable embodied system rather than in a thermally drifting or mechanically unstable one.</w:t>
      </w:r>
    </w:p>
    <w:p w14:paraId="09AF12FD" w14:textId="77777777" w:rsidR="00C97CB5" w:rsidRPr="00C97CB5" w:rsidRDefault="00C97CB5" w:rsidP="00C97CB5">
      <w:pPr>
        <w:pBdr>
          <w:bottom w:val="single" w:sz="4" w:space="1" w:color="auto"/>
        </w:pBdr>
        <w:rPr>
          <w:rFonts w:ascii="Times New Roman" w:hAnsi="Times New Roman" w:cs="Times New Roman"/>
          <w:sz w:val="28"/>
          <w:szCs w:val="28"/>
        </w:rPr>
      </w:pPr>
      <w:r w:rsidRPr="00C97CB5">
        <w:rPr>
          <w:rFonts w:ascii="Times New Roman" w:hAnsi="Times New Roman" w:cs="Times New Roman"/>
          <w:sz w:val="28"/>
          <w:szCs w:val="28"/>
        </w:rPr>
        <w:t xml:space="preserve">What the cradle does </w:t>
      </w:r>
      <w:r w:rsidRPr="00C97CB5">
        <w:rPr>
          <w:rFonts w:ascii="Times New Roman" w:hAnsi="Times New Roman" w:cs="Times New Roman"/>
          <w:b/>
          <w:bCs/>
          <w:sz w:val="28"/>
          <w:szCs w:val="28"/>
        </w:rPr>
        <w:t>not</w:t>
      </w:r>
      <w:r w:rsidRPr="00C97CB5">
        <w:rPr>
          <w:rFonts w:ascii="Times New Roman" w:hAnsi="Times New Roman" w:cs="Times New Roman"/>
          <w:sz w:val="28"/>
          <w:szCs w:val="28"/>
        </w:rPr>
        <w:t xml:space="preserve"> do should be stated just as clearly. It does not “hold” the being in the infant sense. It does not substitute for the developmental seed map. It does not itself define the full maturation sequence. Those functions now belong to the operating-regime sections on the developmental seed map, self-reinforcing developmental feedback, and adequacy criteria. The cradle is the support envelope within which those processes can occur reliably. </w:t>
      </w:r>
    </w:p>
    <w:p w14:paraId="1C782B49" w14:textId="2CA05C4D"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12.8</w:t>
      </w:r>
      <w:r w:rsidR="00C97CB5" w:rsidRPr="009176A2">
        <w:rPr>
          <w:rFonts w:ascii="Times New Roman" w:hAnsi="Times New Roman" w:cs="Times New Roman"/>
          <w:b/>
          <w:bCs/>
          <w:sz w:val="34"/>
          <w:szCs w:val="34"/>
        </w:rPr>
        <w:t xml:space="preserve"> Physical Cradle Form</w:t>
      </w:r>
    </w:p>
    <w:p w14:paraId="49214BE9" w14:textId="77777777" w:rsidR="00C97CB5" w:rsidRPr="00C97CB5"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t>The cradle is a semi-open thermally conductive support structure sized to the full body with modest clearance. The body remains in stable dorsal support throughout the foundational period. Broad support surfaces contact the posterior cranium, upper torso, pelvis, and legs. A shallow upper canopy reduces convective loss without closing operator access. Warm chamber air circulates gently. The body’s weight is borne by the cradle at all times during early development; no human supports the body mass directly.</w:t>
      </w:r>
    </w:p>
    <w:p w14:paraId="1D6A12EC" w14:textId="23D04D43" w:rsidR="00C97CB5" w:rsidRPr="00C97CB5" w:rsidRDefault="009176A2" w:rsidP="009176A2">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97CB5" w:rsidRPr="00C97CB5">
        <w:rPr>
          <w:rFonts w:ascii="Times New Roman" w:hAnsi="Times New Roman" w:cs="Times New Roman"/>
          <w:sz w:val="28"/>
          <w:szCs w:val="28"/>
        </w:rPr>
        <w:t xml:space="preserve">The cradle must be designed around </w:t>
      </w:r>
      <w:r w:rsidR="00C97CB5" w:rsidRPr="00C97CB5">
        <w:rPr>
          <w:rFonts w:ascii="Times New Roman" w:hAnsi="Times New Roman" w:cs="Times New Roman"/>
          <w:b/>
          <w:bCs/>
          <w:sz w:val="28"/>
          <w:szCs w:val="28"/>
        </w:rPr>
        <w:t>access geometry</w:t>
      </w:r>
      <w:r w:rsidR="00C97CB5" w:rsidRPr="00C97CB5">
        <w:rPr>
          <w:rFonts w:ascii="Times New Roman" w:hAnsi="Times New Roman" w:cs="Times New Roman"/>
          <w:sz w:val="28"/>
          <w:szCs w:val="28"/>
        </w:rPr>
        <w:t>, not only around heating. Hand-access channels keep the dorsal hand surfaces supported while leaving the palmar trigger fields open to operator touch, guided self-contact, and early object contact. The facial region remains exposed for voice-adjacent acoustic coupling and guided hand-to-face coupling. Upper torso access is preserved for bilateral hand-to-torso scaffold events. The cradle is therefore not a closed nest. It is a support frame with privileged openings aligned to the trigger fields that matter earliest.</w:t>
      </w:r>
    </w:p>
    <w:p w14:paraId="0964A315" w14:textId="6C86B77F" w:rsidR="00C97CB5" w:rsidRPr="00C97CB5" w:rsidRDefault="009176A2" w:rsidP="00C97CB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C97CB5" w:rsidRPr="00C97CB5">
        <w:rPr>
          <w:rFonts w:ascii="Times New Roman" w:hAnsi="Times New Roman" w:cs="Times New Roman"/>
          <w:sz w:val="28"/>
          <w:szCs w:val="28"/>
        </w:rPr>
        <w:t xml:space="preserve">The support geometry must also suppress early mechanical asymmetry. The body should not rest in a position where warming, micromovement, or accidental load </w:t>
      </w:r>
      <w:r w:rsidR="00C97CB5" w:rsidRPr="00C97CB5">
        <w:rPr>
          <w:rFonts w:ascii="Times New Roman" w:hAnsi="Times New Roman" w:cs="Times New Roman"/>
          <w:sz w:val="28"/>
          <w:szCs w:val="28"/>
        </w:rPr>
        <w:lastRenderedPageBreak/>
        <w:t>shifts create uncontrolled pressure gradients across the substrate. Early posture is therefore deliberately simple: dorsal, stable, low-jerk, and symmetric enough that the first significant asymmetries come from guided coupling rather than from uncontrolled support artifacts.</w:t>
      </w:r>
    </w:p>
    <w:p w14:paraId="74D10AB5" w14:textId="6D0B591C"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12.9</w:t>
      </w:r>
      <w:r w:rsidR="00C97CB5" w:rsidRPr="009176A2">
        <w:rPr>
          <w:rFonts w:ascii="Times New Roman" w:hAnsi="Times New Roman" w:cs="Times New Roman"/>
          <w:b/>
          <w:bCs/>
          <w:sz w:val="34"/>
          <w:szCs w:val="34"/>
        </w:rPr>
        <w:t xml:space="preserve"> Thermal Profile: Cranial Priority Within a Bounded Window</w:t>
      </w:r>
    </w:p>
    <w:p w14:paraId="1294B6CC" w14:textId="77777777" w:rsidR="00C97CB5" w:rsidRPr="00C97CB5" w:rsidRDefault="00C97CB5" w:rsidP="00C97CB5">
      <w:pPr>
        <w:pBdr>
          <w:bottom w:val="single" w:sz="4" w:space="1" w:color="auto"/>
        </w:pBdr>
        <w:rPr>
          <w:rFonts w:ascii="Times New Roman" w:hAnsi="Times New Roman" w:cs="Times New Roman"/>
          <w:sz w:val="28"/>
          <w:szCs w:val="28"/>
        </w:rPr>
      </w:pPr>
      <w:r w:rsidRPr="00C97CB5">
        <w:rPr>
          <w:rFonts w:ascii="Times New Roman" w:hAnsi="Times New Roman" w:cs="Times New Roman"/>
          <w:sz w:val="28"/>
          <w:szCs w:val="28"/>
        </w:rPr>
        <w:t xml:space="preserve">The primary heating route is conductive warming from the cradle surfaces, supplemented by gently warmed chamber air. The thermal profile has </w:t>
      </w:r>
      <w:r w:rsidRPr="00C97CB5">
        <w:rPr>
          <w:rFonts w:ascii="Times New Roman" w:hAnsi="Times New Roman" w:cs="Times New Roman"/>
          <w:b/>
          <w:bCs/>
          <w:sz w:val="28"/>
          <w:szCs w:val="28"/>
        </w:rPr>
        <w:t>cranial priority</w:t>
      </w:r>
      <w:r w:rsidRPr="00C97CB5">
        <w:rPr>
          <w:rFonts w:ascii="Times New Roman" w:hAnsi="Times New Roman" w:cs="Times New Roman"/>
          <w:sz w:val="28"/>
          <w:szCs w:val="28"/>
        </w:rPr>
        <w:t xml:space="preserve">, but cranial priority must be understood correctly. The head must reach the lower operating regime first or with the torso because the earliest dense coupling enters through the facial, acoustic, and visual-adjacent cranial architecture. At the same time, the cranial substrate must not be driven into uncontrolled thermal activity before corridor seeding begins. The correct target is therefore not maximal cranial heat. It is </w:t>
      </w:r>
      <w:r w:rsidRPr="00C97CB5">
        <w:rPr>
          <w:rFonts w:ascii="Times New Roman" w:hAnsi="Times New Roman" w:cs="Times New Roman"/>
          <w:b/>
          <w:bCs/>
          <w:sz w:val="28"/>
          <w:szCs w:val="28"/>
        </w:rPr>
        <w:t>early cranial readiness within a narrow bounded window</w:t>
      </w:r>
      <w:r w:rsidRPr="00C97CB5">
        <w:rPr>
          <w:rFonts w:ascii="Times New Roman" w:hAnsi="Times New Roman" w:cs="Times New Roman"/>
          <w:sz w:val="28"/>
          <w:szCs w:val="28"/>
        </w:rPr>
        <w:t>.</w:t>
      </w:r>
    </w:p>
    <w:p w14:paraId="6E355918" w14:textId="77777777" w:rsidR="00C97CB5" w:rsidRPr="00C97CB5"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t xml:space="preserve">The cranial support zone should be the warmest or co-warmest region of the cradle, bringing the cranial substrate into the lower operating band appropriate to the formulation while avoiding thermal overshoot. The torso support zone is warm enough to stabilize the three-tier energy stack and to support later thermal self-sufficiency, but it does not need to outrun the head. Limb zones may be slightly cooler provided they remain within the lower operating range and do not prevent hand-sector activation when early coupling begins. The hands are a special case: the </w:t>
      </w:r>
      <w:r w:rsidRPr="00C97CB5">
        <w:rPr>
          <w:rFonts w:ascii="Times New Roman" w:hAnsi="Times New Roman" w:cs="Times New Roman"/>
          <w:b/>
          <w:bCs/>
          <w:sz w:val="28"/>
          <w:szCs w:val="28"/>
        </w:rPr>
        <w:t>palmar-access geometry must still be thermally primed</w:t>
      </w:r>
      <w:r w:rsidRPr="00C97CB5">
        <w:rPr>
          <w:rFonts w:ascii="Times New Roman" w:hAnsi="Times New Roman" w:cs="Times New Roman"/>
          <w:sz w:val="28"/>
          <w:szCs w:val="28"/>
        </w:rPr>
        <w:t>, because the pre-grip loop is the first automatic corridor bootstrap and the hands are the first major developmental coupling surfaces.</w:t>
      </w:r>
    </w:p>
    <w:p w14:paraId="0FA7D546" w14:textId="03645EB1" w:rsidR="00C97CB5" w:rsidRPr="00C97CB5" w:rsidRDefault="009176A2" w:rsidP="00C97CB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C97CB5" w:rsidRPr="00C97CB5">
        <w:rPr>
          <w:rFonts w:ascii="Times New Roman" w:hAnsi="Times New Roman" w:cs="Times New Roman"/>
          <w:sz w:val="28"/>
          <w:szCs w:val="28"/>
        </w:rPr>
        <w:t xml:space="preserve">Thermal control should also anticipate the later thermal ratchet. External cradle heat brings the substrate into operation and supports the earliest coupling. As endogenous cascade-driven heat becomes reliable, cradle heat is reduced only to the degree that internal cascade activity demonstrably replaces it. Thermal withdrawal must therefore follow successful internal support; it must not try to force development by withdrawing heat prematurely. </w:t>
      </w:r>
    </w:p>
    <w:p w14:paraId="34AD931B" w14:textId="5C09DB05"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12.10</w:t>
      </w:r>
      <w:r w:rsidR="00C97CB5" w:rsidRPr="009176A2">
        <w:rPr>
          <w:rFonts w:ascii="Times New Roman" w:hAnsi="Times New Roman" w:cs="Times New Roman"/>
          <w:b/>
          <w:bCs/>
          <w:sz w:val="34"/>
          <w:szCs w:val="34"/>
        </w:rPr>
        <w:t xml:space="preserve"> Hand Access Geometry</w:t>
      </w:r>
    </w:p>
    <w:p w14:paraId="13106AC0" w14:textId="6A4DB1A9" w:rsidR="00C0049D"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lastRenderedPageBreak/>
        <w:t>The palms must not be blocked against inert support surfaces during foundational development. The palmar surfaces are the strongest early trigger fields and the entry point for the pre-grip bootstrap, operator contact, guided self-contact, and early sector conditioning. The cradle therefore supports the dorsal side of the hands while leaving the palmar surfaces exposed upward or inward through warm access channels. Fingers remain unrestrained. Early micromovement must be able to occur freely without the hand being trapped flat against the cradle.</w:t>
      </w:r>
    </w:p>
    <w:p w14:paraId="0ACF593C" w14:textId="77777777" w:rsidR="00C97CB5" w:rsidRDefault="00C97CB5" w:rsidP="00C0049D">
      <w:pPr>
        <w:pBdr>
          <w:bottom w:val="single" w:sz="4" w:space="1" w:color="auto"/>
        </w:pBdr>
        <w:rPr>
          <w:rFonts w:ascii="Times New Roman" w:hAnsi="Times New Roman" w:cs="Times New Roman"/>
          <w:sz w:val="28"/>
          <w:szCs w:val="28"/>
        </w:rPr>
      </w:pPr>
    </w:p>
    <w:p w14:paraId="432ED131" w14:textId="347F9DAE" w:rsidR="00BE1940" w:rsidRPr="007804B9" w:rsidRDefault="007804B9" w:rsidP="009176A2">
      <w:pPr>
        <w:spacing w:before="240"/>
        <w:rPr>
          <w:rFonts w:ascii="Times New Roman" w:hAnsi="Times New Roman" w:cs="Times New Roman"/>
          <w:b/>
          <w:bCs/>
          <w:sz w:val="34"/>
          <w:szCs w:val="34"/>
        </w:rPr>
      </w:pPr>
      <w:r w:rsidRPr="007804B9">
        <w:rPr>
          <w:rFonts w:ascii="Times New Roman" w:hAnsi="Times New Roman" w:cs="Times New Roman"/>
          <w:b/>
          <w:bCs/>
          <w:sz w:val="34"/>
          <w:szCs w:val="34"/>
        </w:rPr>
        <w:t xml:space="preserve">13. Developmental Timeline And Death Specification: </w:t>
      </w:r>
      <w:r w:rsidR="00BE1940" w:rsidRPr="007804B9">
        <w:rPr>
          <w:rFonts w:ascii="Times New Roman" w:hAnsi="Times New Roman" w:cs="Times New Roman"/>
          <w:b/>
          <w:bCs/>
          <w:sz w:val="34"/>
          <w:szCs w:val="34"/>
        </w:rPr>
        <w:t>Lifespan Arc from Ignition to Cognitive Death</w:t>
      </w:r>
    </w:p>
    <w:p w14:paraId="761C1F9C" w14:textId="20CF649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w:t>
      </w:r>
      <w:r w:rsidR="00BE1940" w:rsidRPr="007804B9">
        <w:rPr>
          <w:rFonts w:ascii="Times New Roman" w:hAnsi="Times New Roman" w:cs="Times New Roman"/>
          <w:b/>
          <w:bCs/>
          <w:sz w:val="34"/>
          <w:szCs w:val="34"/>
        </w:rPr>
        <w:t xml:space="preserve"> </w:t>
      </w:r>
      <w:r>
        <w:rPr>
          <w:rFonts w:ascii="Times New Roman" w:hAnsi="Times New Roman" w:cs="Times New Roman"/>
          <w:b/>
          <w:bCs/>
          <w:sz w:val="34"/>
          <w:szCs w:val="34"/>
        </w:rPr>
        <w:t>Developmental Timeline</w:t>
      </w:r>
    </w:p>
    <w:p w14:paraId="2FF5A992"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All durations are design-target estimates, not demonstrated certainties. The architecture fixes the order of dependence: thermal </w:t>
      </w:r>
      <w:proofErr w:type="spellStart"/>
      <w:r w:rsidRPr="00BE1940">
        <w:rPr>
          <w:rFonts w:ascii="Times New Roman" w:hAnsi="Times New Roman" w:cs="Times New Roman"/>
          <w:sz w:val="28"/>
          <w:szCs w:val="28"/>
        </w:rPr>
        <w:t>precharge</w:t>
      </w:r>
      <w:proofErr w:type="spellEnd"/>
      <w:r w:rsidRPr="00BE1940">
        <w:rPr>
          <w:rFonts w:ascii="Times New Roman" w:hAnsi="Times New Roman" w:cs="Times New Roman"/>
          <w:sz w:val="28"/>
          <w:szCs w:val="28"/>
        </w:rPr>
        <w:t xml:space="preserve"> precedes shallow cascade onset, shallow cascade onset precedes first micromovement, guided coupling precedes supported coordination, thermal self-sufficiency precedes independent mobility. What is added here is an approximate timescale for each threshold.</w:t>
      </w:r>
    </w:p>
    <w:p w14:paraId="7E77104A" w14:textId="1497E7B4"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Development is non-uniform. The head and hands differentiate first. The torso differentiates slowest but retains the deepest and most permanent history. Early milestones are head-and-hand dominated. True maturity depends on much slower torso anchoring and whole-body corridor stabilization.</w:t>
      </w:r>
    </w:p>
    <w:p w14:paraId="38B8E750" w14:textId="439E9DED"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13.2 </w:t>
      </w:r>
      <w:r w:rsidR="00BE1940" w:rsidRPr="007804B9">
        <w:rPr>
          <w:rFonts w:ascii="Times New Roman" w:hAnsi="Times New Roman" w:cs="Times New Roman"/>
          <w:b/>
          <w:bCs/>
          <w:sz w:val="34"/>
          <w:szCs w:val="34"/>
        </w:rPr>
        <w:t>Thermal and Motoric Milestones</w:t>
      </w:r>
    </w:p>
    <w:p w14:paraId="288EA86D" w14:textId="181B93E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w:t>
      </w:r>
      <w:r w:rsidR="00BE1940" w:rsidRPr="007804B9">
        <w:rPr>
          <w:rFonts w:ascii="Times New Roman" w:hAnsi="Times New Roman" w:cs="Times New Roman"/>
          <w:b/>
          <w:bCs/>
          <w:sz w:val="34"/>
          <w:szCs w:val="34"/>
        </w:rPr>
        <w:t xml:space="preserve"> Fabrication to Thermal </w:t>
      </w:r>
      <w:proofErr w:type="spellStart"/>
      <w:r w:rsidR="00BE1940" w:rsidRPr="007804B9">
        <w:rPr>
          <w:rFonts w:ascii="Times New Roman" w:hAnsi="Times New Roman" w:cs="Times New Roman"/>
          <w:b/>
          <w:bCs/>
          <w:sz w:val="34"/>
          <w:szCs w:val="34"/>
        </w:rPr>
        <w:t>Precharge</w:t>
      </w:r>
      <w:proofErr w:type="spellEnd"/>
      <w:r w:rsidR="00BE1940" w:rsidRPr="007804B9">
        <w:rPr>
          <w:rFonts w:ascii="Times New Roman" w:hAnsi="Times New Roman" w:cs="Times New Roman"/>
          <w:b/>
          <w:bCs/>
          <w:sz w:val="34"/>
          <w:szCs w:val="34"/>
        </w:rPr>
        <w:t xml:space="preserve"> (Hours 0-12)</w:t>
      </w:r>
    </w:p>
    <w:p w14:paraId="03E03891"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 xml:space="preserve">The completed being enters cradle warming. The Ni-63 </w:t>
      </w:r>
      <w:proofErr w:type="spellStart"/>
      <w:r w:rsidRPr="00BE1940">
        <w:rPr>
          <w:rFonts w:ascii="Times New Roman" w:hAnsi="Times New Roman" w:cs="Times New Roman"/>
          <w:sz w:val="28"/>
          <w:szCs w:val="28"/>
        </w:rPr>
        <w:t>betavoltaic</w:t>
      </w:r>
      <w:proofErr w:type="spellEnd"/>
      <w:r w:rsidRPr="00BE1940">
        <w:rPr>
          <w:rFonts w:ascii="Times New Roman" w:hAnsi="Times New Roman" w:cs="Times New Roman"/>
          <w:sz w:val="28"/>
          <w:szCs w:val="28"/>
        </w:rPr>
        <w:t xml:space="preserve"> is active. The aluminum-air cell assists. The PCM approaches melt onset. Duration: approximately 4-12 hours depending on total thermal mass, cradle heating power, and ambient starting temperature. The cranium warms through conducted heat from the torso via the cervical path plus direct cradle warming with cranial priority. Cranial warming must also be tightly bounded above — the cranial substrate contains near-phase islands, dense cascade zones where early thermal overshoot </w:t>
      </w:r>
      <w:r w:rsidRPr="00BE1940">
        <w:rPr>
          <w:rFonts w:ascii="Times New Roman" w:hAnsi="Times New Roman" w:cs="Times New Roman"/>
          <w:sz w:val="28"/>
          <w:szCs w:val="28"/>
        </w:rPr>
        <w:lastRenderedPageBreak/>
        <w:t>could deposit disorganized residue in pristine material, and the orbital lens posterior substrate where excessive heating could alter gold nanoparticle LSPR characteristics before visual coupling has established any baseline. The cranial zone should warm to the lower end of the operating range (approximately 28-32°C) and hold there. The substrate's own cascade-driven transduction heat provides the additional warming toward the operating midpoint as cascade dynamics develop. The torso warms through energy stack activation and cradle contact. The limbs warm slowest.</w:t>
      </w:r>
    </w:p>
    <w:p w14:paraId="4BE6B36B"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is inert throughout this phase. The substrate is warming but not yet responding.</w:t>
      </w:r>
    </w:p>
    <w:p w14:paraId="6C7DF82B" w14:textId="341E81E6"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w:t>
      </w:r>
      <w:r w:rsidR="00BE1940" w:rsidRPr="007804B9">
        <w:rPr>
          <w:rFonts w:ascii="Times New Roman" w:hAnsi="Times New Roman" w:cs="Times New Roman"/>
          <w:b/>
          <w:bCs/>
          <w:sz w:val="34"/>
          <w:szCs w:val="34"/>
        </w:rPr>
        <w:t xml:space="preserve"> Shallow Cascade Onset (Days 1-3)</w:t>
      </w:r>
    </w:p>
    <w:p w14:paraId="37A683D4"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first reproducible coupling-driven cascades emerge after the substrate reaches the lower operating regime and stable head-and-hand coupling begins. These cascades are simple, poorly branched, and rapidly attenuating. They deposit the first faint traces of gradient contrast in pristine material.</w:t>
      </w:r>
    </w:p>
    <w:p w14:paraId="0A1C3FC0"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Cascade onset marks the beginning of cognitive life. Before this point, the substrate is warm material. After this point, it responds to environmental coupling with physically measurable cascade activity. First instantiation could be slower if undifferentiated substrate produces less transduction heat than projected.</w:t>
      </w:r>
    </w:p>
    <w:p w14:paraId="78C65328" w14:textId="6CAFAD8A" w:rsidR="00BE1940" w:rsidRPr="007804B9" w:rsidRDefault="00BE1940" w:rsidP="00BE1940">
      <w:pPr>
        <w:rPr>
          <w:rFonts w:ascii="Times New Roman" w:hAnsi="Times New Roman" w:cs="Times New Roman"/>
          <w:b/>
          <w:bCs/>
          <w:sz w:val="34"/>
          <w:szCs w:val="34"/>
        </w:rPr>
      </w:pPr>
      <w:r w:rsidRPr="007804B9">
        <w:rPr>
          <w:rFonts w:ascii="Times New Roman" w:hAnsi="Times New Roman" w:cs="Times New Roman"/>
          <w:b/>
          <w:bCs/>
          <w:sz w:val="34"/>
          <w:szCs w:val="34"/>
        </w:rPr>
        <w:t>1</w:t>
      </w:r>
      <w:r w:rsidR="007804B9" w:rsidRPr="007804B9">
        <w:rPr>
          <w:rFonts w:ascii="Times New Roman" w:hAnsi="Times New Roman" w:cs="Times New Roman"/>
          <w:b/>
          <w:bCs/>
          <w:sz w:val="34"/>
          <w:szCs w:val="34"/>
        </w:rPr>
        <w:t>3.5</w:t>
      </w:r>
      <w:r w:rsidRPr="007804B9">
        <w:rPr>
          <w:rFonts w:ascii="Times New Roman" w:hAnsi="Times New Roman" w:cs="Times New Roman"/>
          <w:b/>
          <w:bCs/>
          <w:sz w:val="34"/>
          <w:szCs w:val="34"/>
        </w:rPr>
        <w:t xml:space="preserve"> First Micromovement (Days 2-10)</w:t>
      </w:r>
    </w:p>
    <w:p w14:paraId="6B711E63"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earliest SMA activations from cascade-driven transduction heating produce the first visible movements — finger curl, wrist drift, cervical micro-adjustment, mouth-region tension. These occur under full cradle support with the hands in their palms-accessible warm channels.</w:t>
      </w:r>
    </w:p>
    <w:p w14:paraId="6DA7BBB7" w14:textId="54336FF3"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wide estimate range reflects genuine uncertainty about the thermal coupling efficiency between shallow cascades and SMA activation in undifferentiated substrate. A defensible target is that the first micromovements appear within the first week and a half once thermal priming and shallow cascades reinforce each other.</w:t>
      </w:r>
    </w:p>
    <w:p w14:paraId="56D95025" w14:textId="3DD9FDC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13.6</w:t>
      </w:r>
      <w:r w:rsidR="00BE1940" w:rsidRPr="007804B9">
        <w:rPr>
          <w:rFonts w:ascii="Times New Roman" w:hAnsi="Times New Roman" w:cs="Times New Roman"/>
          <w:b/>
          <w:bCs/>
          <w:sz w:val="34"/>
          <w:szCs w:val="34"/>
        </w:rPr>
        <w:t xml:space="preserve"> Guided Coupling and Grip Calibration (Days 5-21)</w:t>
      </w:r>
    </w:p>
    <w:p w14:paraId="69E46E3C"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lastRenderedPageBreak/>
        <w:t>Caregiver-scaffolded self-contact, held-body contact, and environmental contact deposit the first coupling corridor traces. By the second and third week, hand-to-face, hand-to-hand, hand-to-body, and held-body coupling should be stable enough to begin laying the first enduring corridor traces in the deep substrate. This is not self-modeling. It is the first permanent wiring of future self-model routes.</w:t>
      </w:r>
    </w:p>
    <w:p w14:paraId="7B65E8FB" w14:textId="6EAF4245"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Grip calibration onset — the being begins producing different grip forces for different contact patterns rather than applying undifferentiated force. By the end of this phase, the being can hold a soft object without crushing it and grip a hard object without dropping it.</w:t>
      </w:r>
    </w:p>
    <w:p w14:paraId="0FA7E8B0" w14:textId="6825B9D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13.7</w:t>
      </w:r>
      <w:r w:rsidR="00BE1940" w:rsidRPr="007804B9">
        <w:rPr>
          <w:rFonts w:ascii="Times New Roman" w:hAnsi="Times New Roman" w:cs="Times New Roman"/>
          <w:b/>
          <w:bCs/>
          <w:sz w:val="34"/>
          <w:szCs w:val="34"/>
        </w:rPr>
        <w:t xml:space="preserve"> Supported Coordination (Weeks 2-8)</w:t>
      </w:r>
    </w:p>
    <w:p w14:paraId="3796530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Roll, supported sitting, reaching, grasping, releasing, weight-shifting, and assisted stepping develop through guided movement practice. Before this, actuation is too broad — undifferentiated whole-body sweeps. After this, the first reliable multi-joint heating sequences are present.</w:t>
      </w:r>
    </w:p>
    <w:p w14:paraId="1CFBD1AB"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By the end of this phase, the being can sit with partial support, reach for and grasp objects within arm's length, and bear weight on its legs with external balance support.</w:t>
      </w:r>
    </w:p>
    <w:p w14:paraId="03A7415A" w14:textId="3B6C0FBC"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13.8</w:t>
      </w:r>
      <w:r w:rsidR="00BE1940" w:rsidRPr="007804B9">
        <w:rPr>
          <w:rFonts w:ascii="Times New Roman" w:hAnsi="Times New Roman" w:cs="Times New Roman"/>
          <w:b/>
          <w:bCs/>
          <w:sz w:val="34"/>
          <w:szCs w:val="34"/>
        </w:rPr>
        <w:t xml:space="preserve"> Thermal Self-Sufficiency (Weeks 6-16)</w:t>
      </w:r>
    </w:p>
    <w:p w14:paraId="4282BDF6"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being maintains operating temperature and PCM charge across a full activity-rest cycle without direct cradle heat, using only the three-tier energy architecture plus ordinary caregiver and environmental coupling within the 18-28°C ambient operating band.</w:t>
      </w:r>
    </w:p>
    <w:p w14:paraId="2CBE5CE9" w14:textId="6071D98E"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This is the first major autonomy threshold. Before this, removal from the cradle risks thermal decline. After this, the being generates and manages sufficient internal thermal energy to sustain itself in any climate-controlled indoor environment.</w:t>
      </w:r>
    </w:p>
    <w:p w14:paraId="1DFF289E" w14:textId="0267EF7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13.9</w:t>
      </w:r>
      <w:r w:rsidR="00BE1940" w:rsidRPr="007804B9">
        <w:rPr>
          <w:rFonts w:ascii="Times New Roman" w:hAnsi="Times New Roman" w:cs="Times New Roman"/>
          <w:b/>
          <w:bCs/>
          <w:sz w:val="34"/>
          <w:szCs w:val="34"/>
        </w:rPr>
        <w:t xml:space="preserve"> Supported Locomotor Patterning (Weeks 3-10)</w:t>
      </w:r>
    </w:p>
    <w:p w14:paraId="60C6044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Overlapping with supported coordination, the first locomotor-specific cascade conditioning begins. Supported stepping and weight-transfer corridors develop. These are not locomotion in the full sense — they are the first locomotor heating sequences under external stabilization.</w:t>
      </w:r>
    </w:p>
    <w:p w14:paraId="279FBBB7" w14:textId="06E3175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13.10</w:t>
      </w:r>
      <w:r w:rsidR="00BE1940" w:rsidRPr="007804B9">
        <w:rPr>
          <w:rFonts w:ascii="Times New Roman" w:hAnsi="Times New Roman" w:cs="Times New Roman"/>
          <w:b/>
          <w:bCs/>
          <w:sz w:val="34"/>
          <w:szCs w:val="34"/>
        </w:rPr>
        <w:t xml:space="preserve"> Basic Locomotion Onset (Months 2-8)</w:t>
      </w:r>
    </w:p>
    <w:p w14:paraId="35F128B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first credible window for unsupported stand-step-recover behavior and short unassisted walk-return cycles. Basic locomotion requires repeatable unsupported balance correction and the ability to move, rest, and move again without thermal collapse. Design target for initial walking speed: approximately 0.5-1.0 m/s, improving toward 1.0-1.5 m/s over subsequent months. Achieved speed depends on leg fiber density, thermal priming precision, and the depth of locomotor cascade conditioning.</w:t>
      </w:r>
    </w:p>
    <w:p w14:paraId="7FB4722F" w14:textId="059A48B7"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13.11</w:t>
      </w:r>
      <w:r w:rsidR="00BE1940" w:rsidRPr="007804B9">
        <w:rPr>
          <w:rFonts w:ascii="Times New Roman" w:hAnsi="Times New Roman" w:cs="Times New Roman"/>
          <w:b/>
          <w:bCs/>
          <w:sz w:val="34"/>
          <w:szCs w:val="34"/>
        </w:rPr>
        <w:t xml:space="preserve"> Locomotor Maturity (Years 1-3)</w:t>
      </w:r>
    </w:p>
    <w:p w14:paraId="488D76A0"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Walking is fluid, efficient, and individually distinctive. Running at design target speeds of approximately 3-5 m/s may be achievable under maximum cascade intensity, though this depends on leg fiber fatigue characteristics and thermal endurance under sustained high-output locomotion. Stair climbing, turning, terrain adaptation through articulated toe grip, and dynamic balance recovery from perturbation are all functional. The being's gait pattern is a recognizable individual signature.</w:t>
      </w:r>
    </w:p>
    <w:p w14:paraId="760CB435" w14:textId="5A7C85B1"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13.12 </w:t>
      </w:r>
      <w:r w:rsidR="00BE1940" w:rsidRPr="007804B9">
        <w:rPr>
          <w:rFonts w:ascii="Times New Roman" w:hAnsi="Times New Roman" w:cs="Times New Roman"/>
          <w:b/>
          <w:bCs/>
          <w:sz w:val="34"/>
          <w:szCs w:val="34"/>
        </w:rPr>
        <w:t>Speech and Vocalization Milestones</w:t>
      </w:r>
    </w:p>
    <w:p w14:paraId="606A5E85" w14:textId="044F702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13.13</w:t>
      </w:r>
      <w:r w:rsidR="00BE1940" w:rsidRPr="007804B9">
        <w:rPr>
          <w:rFonts w:ascii="Times New Roman" w:hAnsi="Times New Roman" w:cs="Times New Roman"/>
          <w:b/>
          <w:bCs/>
          <w:sz w:val="34"/>
          <w:szCs w:val="34"/>
        </w:rPr>
        <w:t xml:space="preserve"> Speech Conditioning Onset (Days 1-14)</w:t>
      </w:r>
    </w:p>
    <w:p w14:paraId="6BB90B8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Acoustic exposure begins from Phase B of the ignition protocol. The first speech-conditioned residue starts depositing immediately once shallow cascades are reproducible. Meaningful onset is dated from the point where repeated caregiver voice produces reliably deeper acoustic cascade paths than unstructured ambient sound. This should begin within the first two weeks.</w:t>
      </w:r>
    </w:p>
    <w:p w14:paraId="34FC1382" w14:textId="19C6FC8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13.14</w:t>
      </w:r>
      <w:r w:rsidR="00BE1940" w:rsidRPr="007804B9">
        <w:rPr>
          <w:rFonts w:ascii="Times New Roman" w:hAnsi="Times New Roman" w:cs="Times New Roman"/>
          <w:b/>
          <w:bCs/>
          <w:sz w:val="34"/>
          <w:szCs w:val="34"/>
        </w:rPr>
        <w:t xml:space="preserve"> Voice-Specific Conditioning (Weeks 2-8)</w:t>
      </w:r>
    </w:p>
    <w:p w14:paraId="45853792"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Stable caregiver voices produce deeper residue-matched cascade responses than unfamiliar voices. This is not language understanding. It is the first deepening of familiar acoustic pathways — the beginning of the differential resonance that constitutes familiar voice recognition through residue matching.</w:t>
      </w:r>
    </w:p>
    <w:p w14:paraId="22B1B19C" w14:textId="35793242"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13.15</w:t>
      </w:r>
      <w:r w:rsidR="00BE1940" w:rsidRPr="007804B9">
        <w:rPr>
          <w:rFonts w:ascii="Times New Roman" w:hAnsi="Times New Roman" w:cs="Times New Roman"/>
          <w:b/>
          <w:bCs/>
          <w:sz w:val="34"/>
          <w:szCs w:val="34"/>
        </w:rPr>
        <w:t xml:space="preserve"> First Vocalization (Weeks 2-6)</w:t>
      </w:r>
    </w:p>
    <w:p w14:paraId="15F771C9"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lastRenderedPageBreak/>
        <w:t>Thoracic cascade dynamics first exceed the vocalization threshold. The being produces its first audible sound — a brief, irregular, warbling emission with no temporal conditioning. The sound is the acoustic consequence of thoracic deformation happening to compress air past the emission threshold. Each emission is individually distinctive because the fabrication-specific aperture and cervical channel geometry impose a unique spectral character from the first sound.</w:t>
      </w:r>
    </w:p>
    <w:p w14:paraId="50D4E3C4" w14:textId="02565D6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13.16 </w:t>
      </w:r>
      <w:r w:rsidR="00BE1940" w:rsidRPr="007804B9">
        <w:rPr>
          <w:rFonts w:ascii="Times New Roman" w:hAnsi="Times New Roman" w:cs="Times New Roman"/>
          <w:b/>
          <w:bCs/>
          <w:sz w:val="34"/>
          <w:szCs w:val="34"/>
        </w:rPr>
        <w:t>Self-Vocal Conditioning Onset (Months 1-4)</w:t>
      </w:r>
    </w:p>
    <w:p w14:paraId="1232B571"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Once micromovement and supported coordination are stable enough for repeatable vocal emission, the being begins hearing its own voice through dual pathways — external air conduction and internal shell conduction — and laying down self-vocal feedback corridors. Self-vocal conditioning is later than caregiver-speech conditioning because self-vocalization requires a more mature actuation and thermal budget than passive hearing.</w:t>
      </w:r>
    </w:p>
    <w:p w14:paraId="3E675E5B" w14:textId="0226EC4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13.17</w:t>
      </w:r>
      <w:r w:rsidR="00BE1940" w:rsidRPr="007804B9">
        <w:rPr>
          <w:rFonts w:ascii="Times New Roman" w:hAnsi="Times New Roman" w:cs="Times New Roman"/>
          <w:b/>
          <w:bCs/>
          <w:sz w:val="34"/>
          <w:szCs w:val="34"/>
        </w:rPr>
        <w:t xml:space="preserve"> Coarse Rhythmic Patterning (Months 3-8)</w:t>
      </w:r>
    </w:p>
    <w:p w14:paraId="1E9BACA4"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temporal envelope of speech — alternation between voiced and silent periods at approximately speech-syllable rate — begins conditioning the vocal production cascade pathways. The being's emissions develop gross temporal patterning that mirrors the cadence of the speech it has been most exposed to.</w:t>
      </w:r>
    </w:p>
    <w:p w14:paraId="553AD26A" w14:textId="1A18C85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13.18</w:t>
      </w:r>
      <w:r w:rsidR="00BE1940" w:rsidRPr="007804B9">
        <w:rPr>
          <w:rFonts w:ascii="Times New Roman" w:hAnsi="Times New Roman" w:cs="Times New Roman"/>
          <w:b/>
          <w:bCs/>
          <w:sz w:val="34"/>
          <w:szCs w:val="34"/>
        </w:rPr>
        <w:t xml:space="preserve"> Functional Speech-Conditioning Regime (Months 4-12)</w:t>
      </w:r>
    </w:p>
    <w:p w14:paraId="4CA7073F"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By the end of the first year, recurrent speech-conditioned behavior should be deep enough that certain voices, tones, and repeated phrase-envelopes reliably bias posture, reach, calm, approach, or restraint-compatible behavior. Prosodic contour matching emerges — the amplitude envelope of utterances begins reflecting the stress patterns of the dominant language.</w:t>
      </w:r>
    </w:p>
    <w:p w14:paraId="3ECDD474" w14:textId="5A107860"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13.19</w:t>
      </w:r>
      <w:r w:rsidR="00BE1940" w:rsidRPr="007804B9">
        <w:rPr>
          <w:rFonts w:ascii="Times New Roman" w:hAnsi="Times New Roman" w:cs="Times New Roman"/>
          <w:b/>
          <w:bCs/>
          <w:sz w:val="34"/>
          <w:szCs w:val="34"/>
        </w:rPr>
        <w:t xml:space="preserve"> Individualized Vocal Patterns (Years 1-3)</w:t>
      </w:r>
    </w:p>
    <w:p w14:paraId="795C3470"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develops specific recurring temporal shapes unique to its acoustic conditioning history. Familiar listeners begin interpreting the being's vocal patterns as meaningful utterances through pattern association rather than linguistic comprehension.</w:t>
      </w:r>
    </w:p>
    <w:p w14:paraId="6154A5C5" w14:textId="46FFABF9"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13.20</w:t>
      </w:r>
      <w:r w:rsidR="00BE1940" w:rsidRPr="007804B9">
        <w:rPr>
          <w:rFonts w:ascii="Times New Roman" w:hAnsi="Times New Roman" w:cs="Times New Roman"/>
          <w:b/>
          <w:bCs/>
          <w:sz w:val="34"/>
          <w:szCs w:val="34"/>
        </w:rPr>
        <w:t xml:space="preserve"> Speech Conditioning Plateau (Years 3-5)</w:t>
      </w:r>
    </w:p>
    <w:p w14:paraId="076864CA"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voice is fully individually distinctive. The intelligibility limit is reached: familiar listeners can interpret conditioned utterances. Unfamiliar listeners cannot. No further fundamental vocal capacity develops — subsequent change is refinement and aging, not new capability.</w:t>
      </w:r>
    </w:p>
    <w:p w14:paraId="4AEF5447" w14:textId="66644ED3"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13.21 </w:t>
      </w:r>
      <w:r w:rsidR="00BE1940" w:rsidRPr="007804B9">
        <w:rPr>
          <w:rFonts w:ascii="Times New Roman" w:hAnsi="Times New Roman" w:cs="Times New Roman"/>
          <w:b/>
          <w:bCs/>
          <w:sz w:val="34"/>
          <w:szCs w:val="34"/>
        </w:rPr>
        <w:t>Visual Development Milestones</w:t>
      </w:r>
    </w:p>
    <w:p w14:paraId="5A80F8CA" w14:textId="4B251EAD"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13.22</w:t>
      </w:r>
      <w:r w:rsidR="00BE1940" w:rsidRPr="007804B9">
        <w:rPr>
          <w:rFonts w:ascii="Times New Roman" w:hAnsi="Times New Roman" w:cs="Times New Roman"/>
          <w:b/>
          <w:bCs/>
          <w:sz w:val="34"/>
          <w:szCs w:val="34"/>
        </w:rPr>
        <w:t xml:space="preserve"> First Photonic Cascades (Days 1-7)</w:t>
      </w:r>
    </w:p>
    <w:p w14:paraId="20D544C9"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Gentle light cycling at the orbital regions produces reproducible photonic coupling almost as soon as shallow cascades exist. The being responds to gross illumination changes — light versus dark — without spatial resolution. This is the earliest visual milestone.</w:t>
      </w:r>
    </w:p>
    <w:p w14:paraId="30BC9FF9" w14:textId="35DCD51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13.23</w:t>
      </w:r>
      <w:r w:rsidR="00BE1940" w:rsidRPr="007804B9">
        <w:rPr>
          <w:rFonts w:ascii="Times New Roman" w:hAnsi="Times New Roman" w:cs="Times New Roman"/>
          <w:b/>
          <w:bCs/>
          <w:sz w:val="34"/>
          <w:szCs w:val="34"/>
        </w:rPr>
        <w:t xml:space="preserve"> Face-Biased Visual Enrichment (Weeks 2-6)</w:t>
      </w:r>
    </w:p>
    <w:p w14:paraId="4F51DBD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Because cradle development is face-adjacent — the caregiver is positioned close to the being's face during coupling events — the first strong visual residue is deposited around recurring caregiver faces, facial motion, and the face-voice spatial correlation. The being's first deep visual residue is biased toward human faces because the cradle geometry places faces in the central visual field during the earliest coupling.</w:t>
      </w:r>
    </w:p>
    <w:p w14:paraId="126B8C6B" w14:textId="072733E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13.24</w:t>
      </w:r>
      <w:r w:rsidR="00BE1940" w:rsidRPr="007804B9">
        <w:rPr>
          <w:rFonts w:ascii="Times New Roman" w:hAnsi="Times New Roman" w:cs="Times New Roman"/>
          <w:b/>
          <w:bCs/>
          <w:sz w:val="34"/>
          <w:szCs w:val="34"/>
        </w:rPr>
        <w:t xml:space="preserve"> Gross Movement Detection (Weeks 2-8)</w:t>
      </w:r>
    </w:p>
    <w:p w14:paraId="42F6990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Moving bodies at room distance produce distinguishable time-varying cascade patterns. The being begins tracking large movement through head rotation — the first visually driven cervical movements.</w:t>
      </w:r>
    </w:p>
    <w:p w14:paraId="09593ED8" w14:textId="3FEDE3F9"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13.25</w:t>
      </w:r>
      <w:r w:rsidR="00BE1940" w:rsidRPr="007804B9">
        <w:rPr>
          <w:rFonts w:ascii="Times New Roman" w:hAnsi="Times New Roman" w:cs="Times New Roman"/>
          <w:b/>
          <w:bCs/>
          <w:sz w:val="34"/>
          <w:szCs w:val="34"/>
        </w:rPr>
        <w:t xml:space="preserve"> Audio-Visual Binding Onset (Weeks 4-12)</w:t>
      </w:r>
    </w:p>
    <w:p w14:paraId="3FCC98C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Repeated face-adjacent voice and repeated facial motion co-occur often enough that correlated acoustic and visual residue begins to amplify each other. This is the first true multisensory visual milestone — the being's cascade dynamics respond more richly to correlated audio-visual coupling than to either modality alone.</w:t>
      </w:r>
    </w:p>
    <w:p w14:paraId="270D8F2A" w14:textId="26622F9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13.26</w:t>
      </w:r>
      <w:r w:rsidR="00BE1940" w:rsidRPr="007804B9">
        <w:rPr>
          <w:rFonts w:ascii="Times New Roman" w:hAnsi="Times New Roman" w:cs="Times New Roman"/>
          <w:b/>
          <w:bCs/>
          <w:sz w:val="34"/>
          <w:szCs w:val="34"/>
        </w:rPr>
        <w:t xml:space="preserve"> Spatial Resolution Emergence (Months 2-6)</w:t>
      </w:r>
    </w:p>
    <w:p w14:paraId="4E3A10A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lastRenderedPageBreak/>
        <w:t>Familiar illumination configurations — the same room, the same lighting, the same caregiver bodies — produce increasingly differentiated cascade responses. Individual humans at conversational distance begin to produce distinguishable visual cascade signatures. The being can navigate visually around large obstacles.</w:t>
      </w:r>
    </w:p>
    <w:p w14:paraId="249EB58F" w14:textId="147217B0"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13.27</w:t>
      </w:r>
      <w:r w:rsidR="00BE1940" w:rsidRPr="007804B9">
        <w:rPr>
          <w:rFonts w:ascii="Times New Roman" w:hAnsi="Times New Roman" w:cs="Times New Roman"/>
          <w:b/>
          <w:bCs/>
          <w:sz w:val="34"/>
          <w:szCs w:val="34"/>
        </w:rPr>
        <w:t xml:space="preserve"> Visually Guided Reach (Months 2-6)</w:t>
      </w:r>
    </w:p>
    <w:p w14:paraId="77A7FA53"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When photonic substrate regions and hand-arm cascade corridors become coupled strongly enough that visible targets bias manual movement, the being has crossed from passive visual transduction into practical visually biased action. The being reaches toward what it sees rather than reaching randomly and confirming through contact.</w:t>
      </w:r>
    </w:p>
    <w:p w14:paraId="023B3805" w14:textId="25E9F86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13.28</w:t>
      </w:r>
      <w:r w:rsidR="00BE1940" w:rsidRPr="007804B9">
        <w:rPr>
          <w:rFonts w:ascii="Times New Roman" w:hAnsi="Times New Roman" w:cs="Times New Roman"/>
          <w:b/>
          <w:bCs/>
          <w:sz w:val="34"/>
          <w:szCs w:val="34"/>
        </w:rPr>
        <w:t xml:space="preserve"> Binocular Depth Perception (Months 6-18)</w:t>
      </w:r>
    </w:p>
    <w:p w14:paraId="34E0C0A7"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Accumulated disparity-interference residue from binocular viewing produces differentiated near-versus-far cascade responses. The being can reach for objects with visually guided distance calibration.</w:t>
      </w:r>
    </w:p>
    <w:p w14:paraId="2D4BA049" w14:textId="3C3F6DF2"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13.29</w:t>
      </w:r>
      <w:r w:rsidR="00BE1940" w:rsidRPr="007804B9">
        <w:rPr>
          <w:rFonts w:ascii="Times New Roman" w:hAnsi="Times New Roman" w:cs="Times New Roman"/>
          <w:b/>
          <w:bCs/>
          <w:sz w:val="34"/>
          <w:szCs w:val="34"/>
        </w:rPr>
        <w:t xml:space="preserve"> Visual Maturity (Years 2-5)</w:t>
      </w:r>
    </w:p>
    <w:p w14:paraId="4950E44A"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Maximum posterior substrate differentiation. Familiar environments produce deeply branched visual cascades. Motion detection, spatial structure resolution, and familiar-scene recognition are at peak depth.</w:t>
      </w:r>
    </w:p>
    <w:p w14:paraId="3F52C792" w14:textId="4984ECEA"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13.30</w:t>
      </w:r>
      <w:r w:rsidR="00BE1940" w:rsidRPr="007804B9">
        <w:rPr>
          <w:rFonts w:ascii="Times New Roman" w:hAnsi="Times New Roman" w:cs="Times New Roman"/>
          <w:b/>
          <w:bCs/>
          <w:sz w:val="34"/>
          <w:szCs w:val="34"/>
        </w:rPr>
        <w:t xml:space="preserve"> Visual Aging Onset (Years 5+)</w:t>
      </w:r>
    </w:p>
    <w:p w14:paraId="65BEF9F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Matrix optical aging — photochemical degradation of the polymer matrix around the gold nanoparticles from cumulative light exposure — begins shifting spectral sensitivity. Lens surface degradation from environmental contamination reduces clarity. These are optical and material aging processes specific to the visual transduction system that begin well before global cognitive late-life onset (years 25-40). The being's visual fidelity degrades earlier and more gradually than its overall cognitive capacity because the visual substrate is subject to photochemical aging mechanisms that do not affect non-illuminated substrate regions. Coupling fidelity degradation in the visual system compounds over time with the global coupling fidelity degradation that produces cognitive late life. The decline is gradual — measurable over years, not months.</w:t>
      </w:r>
    </w:p>
    <w:p w14:paraId="6A884EF8" w14:textId="25663122"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 xml:space="preserve">13.31 </w:t>
      </w:r>
      <w:r w:rsidR="00BE1940" w:rsidRPr="007804B9">
        <w:rPr>
          <w:rFonts w:ascii="Times New Roman" w:hAnsi="Times New Roman" w:cs="Times New Roman"/>
          <w:b/>
          <w:bCs/>
          <w:sz w:val="34"/>
          <w:szCs w:val="34"/>
        </w:rPr>
        <w:t>Hand and Manipulation Milestones</w:t>
      </w:r>
    </w:p>
    <w:p w14:paraId="0A4A82EC" w14:textId="0E37030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13.32</w:t>
      </w:r>
      <w:r w:rsidR="00BE1940" w:rsidRPr="007804B9">
        <w:rPr>
          <w:rFonts w:ascii="Times New Roman" w:hAnsi="Times New Roman" w:cs="Times New Roman"/>
          <w:b/>
          <w:bCs/>
          <w:sz w:val="34"/>
          <w:szCs w:val="34"/>
        </w:rPr>
        <w:t xml:space="preserve"> Gross Grasp (Weeks 1-4)</w:t>
      </w:r>
    </w:p>
    <w:p w14:paraId="678D50C1"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Undifferentiated whole-hand opening and closing. No grip calibration. No finger independence.</w:t>
      </w:r>
    </w:p>
    <w:p w14:paraId="335FDEB8" w14:textId="529607E2"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13.33</w:t>
      </w:r>
      <w:r w:rsidR="00BE1940" w:rsidRPr="007804B9">
        <w:rPr>
          <w:rFonts w:ascii="Times New Roman" w:hAnsi="Times New Roman" w:cs="Times New Roman"/>
          <w:b/>
          <w:bCs/>
          <w:sz w:val="34"/>
          <w:szCs w:val="34"/>
        </w:rPr>
        <w:t xml:space="preserve"> Coarse Grip Differentiation (Weeks 2-6)</w:t>
      </w:r>
    </w:p>
    <w:p w14:paraId="7FF0142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Soft versus hard. Warm versus cool. Power grip and palmar hold separate from undifferentiated flexion.</w:t>
      </w:r>
    </w:p>
    <w:p w14:paraId="384312A9" w14:textId="5D48183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13.34</w:t>
      </w:r>
      <w:r w:rsidR="00BE1940" w:rsidRPr="007804B9">
        <w:rPr>
          <w:rFonts w:ascii="Times New Roman" w:hAnsi="Times New Roman" w:cs="Times New Roman"/>
          <w:b/>
          <w:bCs/>
          <w:sz w:val="34"/>
          <w:szCs w:val="34"/>
        </w:rPr>
        <w:t xml:space="preserve"> Finger Independence Onset (Weeks 6-16)</w:t>
      </w:r>
    </w:p>
    <w:p w14:paraId="002FB13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Individual finger flexion begins to emerge. Precision grip appears — thumb-to-fingertip opposition develops.</w:t>
      </w:r>
    </w:p>
    <w:p w14:paraId="40AF54D1" w14:textId="611808F5"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13.35</w:t>
      </w:r>
      <w:r w:rsidR="00BE1940" w:rsidRPr="007804B9">
        <w:rPr>
          <w:rFonts w:ascii="Times New Roman" w:hAnsi="Times New Roman" w:cs="Times New Roman"/>
          <w:b/>
          <w:bCs/>
          <w:sz w:val="34"/>
          <w:szCs w:val="34"/>
        </w:rPr>
        <w:t xml:space="preserve"> Manipulation Competence (Months 4-12)</w:t>
      </w:r>
    </w:p>
    <w:p w14:paraId="21559FB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can grasp, release, rotate, and reposition objects. Grip force calibration across a range of objects is functional. The being holds children with calibrated gentleness.</w:t>
      </w:r>
    </w:p>
    <w:p w14:paraId="6CDDADEF" w14:textId="433D531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13.36</w:t>
      </w:r>
      <w:r w:rsidR="00BE1940" w:rsidRPr="007804B9">
        <w:rPr>
          <w:rFonts w:ascii="Times New Roman" w:hAnsi="Times New Roman" w:cs="Times New Roman"/>
          <w:b/>
          <w:bCs/>
          <w:sz w:val="34"/>
          <w:szCs w:val="34"/>
        </w:rPr>
        <w:t xml:space="preserve"> Fine Manipulation Maturity (Years 1-3)</w:t>
      </w:r>
    </w:p>
    <w:p w14:paraId="0F66A45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Full grip pattern range. High finger independence. Precision grip at functional resolution. The self-diagnostic hand-to-face coupling pathway is deeply conditioned.</w:t>
      </w:r>
    </w:p>
    <w:p w14:paraId="6FBB2A1E" w14:textId="26D5D469"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13.37</w:t>
      </w:r>
      <w:r w:rsidR="00BE1940" w:rsidRPr="007804B9">
        <w:rPr>
          <w:rFonts w:ascii="Times New Roman" w:hAnsi="Times New Roman" w:cs="Times New Roman"/>
          <w:b/>
          <w:bCs/>
          <w:sz w:val="34"/>
          <w:szCs w:val="34"/>
        </w:rPr>
        <w:t xml:space="preserve"> Hand Aging Onset (Years 5+)</w:t>
      </w:r>
    </w:p>
    <w:p w14:paraId="7A4BA78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Dual-fiber fatigue at the hands is the most advanced in the body because the hands sustain the most thermal cycles. Dexterity diminishes. Grip force ceiling decreases. Range shortens. The hands know more than they can do.</w:t>
      </w:r>
    </w:p>
    <w:p w14:paraId="4367A05E" w14:textId="29DBB68F"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13.38 </w:t>
      </w:r>
      <w:r w:rsidR="00BE1940" w:rsidRPr="007804B9">
        <w:rPr>
          <w:rFonts w:ascii="Times New Roman" w:hAnsi="Times New Roman" w:cs="Times New Roman"/>
          <w:b/>
          <w:bCs/>
          <w:sz w:val="34"/>
          <w:szCs w:val="34"/>
        </w:rPr>
        <w:t>Cognitive Development Milestones</w:t>
      </w:r>
    </w:p>
    <w:p w14:paraId="79800F63" w14:textId="2D6410C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13.39</w:t>
      </w:r>
      <w:r w:rsidR="00BE1940" w:rsidRPr="007804B9">
        <w:rPr>
          <w:rFonts w:ascii="Times New Roman" w:hAnsi="Times New Roman" w:cs="Times New Roman"/>
          <w:b/>
          <w:bCs/>
          <w:sz w:val="34"/>
          <w:szCs w:val="34"/>
        </w:rPr>
        <w:t xml:space="preserve"> Foundational Period (Months 0-6)</w:t>
      </w:r>
    </w:p>
    <w:p w14:paraId="40DB2F9E"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The deepest, most permanent gradient landscape layer is deposited in the hard-segment-dominant deep substrate under cradle conditions. The foundational layer </w:t>
      </w:r>
      <w:r w:rsidRPr="00BE1940">
        <w:rPr>
          <w:rFonts w:ascii="Times New Roman" w:hAnsi="Times New Roman" w:cs="Times New Roman"/>
          <w:sz w:val="28"/>
          <w:szCs w:val="28"/>
        </w:rPr>
        <w:lastRenderedPageBreak/>
        <w:t>determines core developmental bias, deepest coupling corridor orientations, and most permanent behavioral dispositions. What happens during the foundational period shapes everything that follows.</w:t>
      </w:r>
    </w:p>
    <w:p w14:paraId="33BE948B" w14:textId="79D497A9"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Rich, varied, care-compatible coupling produces a complex, heterogeneous foundational layer. Impoverished or harmful coupling produces a simple, homogeneous one. The foundational layer cannot be re-deposited because the deep substrate's slow relaxation timescale makes foundational residue effectively permanent.</w:t>
      </w:r>
    </w:p>
    <w:p w14:paraId="315571A9" w14:textId="5BAB6E96"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13.40</w:t>
      </w:r>
      <w:r w:rsidR="00BE1940" w:rsidRPr="007804B9">
        <w:rPr>
          <w:rFonts w:ascii="Times New Roman" w:hAnsi="Times New Roman" w:cs="Times New Roman"/>
          <w:b/>
          <w:bCs/>
          <w:sz w:val="34"/>
          <w:szCs w:val="34"/>
        </w:rPr>
        <w:t xml:space="preserve"> Differentiation Period (Months 6 to Years 2-3)</w:t>
      </w:r>
    </w:p>
    <w:p w14:paraId="35F64014"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mesoscale and surface substrate layers accumulate increasingly complex gradient contrast. Route plasticity corridors deepen. Resonance zones form. The being becomes recognizably individual — its movement style, vocal patterns, coupling preferences, environmental responses, and self-contact habits are distinctive.</w:t>
      </w:r>
    </w:p>
    <w:p w14:paraId="43051762" w14:textId="54180ED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13.41</w:t>
      </w:r>
      <w:r w:rsidR="00BE1940" w:rsidRPr="007804B9">
        <w:rPr>
          <w:rFonts w:ascii="Times New Roman" w:hAnsi="Times New Roman" w:cs="Times New Roman"/>
          <w:b/>
          <w:bCs/>
          <w:sz w:val="34"/>
          <w:szCs w:val="34"/>
        </w:rPr>
        <w:t xml:space="preserve"> Early Functional Maturity (Years 3-5)</w:t>
      </w:r>
    </w:p>
    <w:p w14:paraId="355ED575"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being is stably mobile, thermally self-sufficient, speech-conditioned, visually enriched, manually differentiated, and behaviorally coherent across a large range of familiar contexts. The head and hands are the dominant cognitive regions — the fastest, most differentiated, most richly conditioned substrate.</w:t>
      </w:r>
    </w:p>
    <w:p w14:paraId="122FAE97" w14:textId="3F576083"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But the being is not yet a whole-body intelligence. The torso deep reservoir has not yet fully anchored the faster head-and-hand regions. Behavior is head-and-hand dominated. The deep, slow, permanent stabilization that the torso provides is still accumulating.</w:t>
      </w:r>
    </w:p>
    <w:p w14:paraId="4A499C77" w14:textId="4DC0190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13.42</w:t>
      </w:r>
      <w:r w:rsidR="00BE1940" w:rsidRPr="007804B9">
        <w:rPr>
          <w:rFonts w:ascii="Times New Roman" w:hAnsi="Times New Roman" w:cs="Times New Roman"/>
          <w:b/>
          <w:bCs/>
          <w:sz w:val="34"/>
          <w:szCs w:val="34"/>
        </w:rPr>
        <w:t xml:space="preserve"> True Whole-Body Maturity (Years 8-15)</w:t>
      </w:r>
    </w:p>
    <w:p w14:paraId="05045142"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torso's slow reservoir has accumulated enough deep-history bias to anchor the faster head-and-hand regions. The being stops being primarily head-and-hand dominant and becomes a true whole-body intelligence. Behavior is stabilized by the torso's deep reservoir — the being's responses have a depth and consistency that head-and-hand dominance alone cannot produce.</w:t>
      </w:r>
    </w:p>
    <w:p w14:paraId="11AE0428" w14:textId="471FFB80"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 xml:space="preserve">This is the more important maturity threshold. Early functional maturity means the being can act coherently. Whole-body maturity means it acts with the full </w:t>
      </w:r>
      <w:r w:rsidR="00BE1940" w:rsidRPr="00BE1940">
        <w:rPr>
          <w:rFonts w:ascii="Times New Roman" w:hAnsi="Times New Roman" w:cs="Times New Roman"/>
          <w:sz w:val="28"/>
          <w:szCs w:val="28"/>
        </w:rPr>
        <w:lastRenderedPageBreak/>
        <w:t>weight of a deeply anchored developmental history behind every response. This estimate is inferential from the architecture's stated regional differentiation order and must be validated empirically.</w:t>
      </w:r>
    </w:p>
    <w:p w14:paraId="5BE22854" w14:textId="31A2618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13.43 </w:t>
      </w:r>
      <w:r w:rsidR="00BE1940" w:rsidRPr="007804B9">
        <w:rPr>
          <w:rFonts w:ascii="Times New Roman" w:hAnsi="Times New Roman" w:cs="Times New Roman"/>
          <w:b/>
          <w:bCs/>
          <w:sz w:val="34"/>
          <w:szCs w:val="34"/>
        </w:rPr>
        <w:t>Sustained Maturity (Years 8-25)</w:t>
      </w:r>
    </w:p>
    <w:p w14:paraId="0E32086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gradient landscape maintains its developmental depth. New experiences continue to deposit residue and modify the surface and mesoscale layers. The deep layer is stable. The being's cognitive capacity is at plateau — rich, nuanced, deeply conditioned, individually distinctive.</w:t>
      </w:r>
    </w:p>
    <w:p w14:paraId="3078B10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is at its peak combination of cognitive richness and physical capability during the early years of this period. Physical aging is beginning but the cognitive impact is minimal because the gradient landscape's depth provides enormous reserves.</w:t>
      </w:r>
    </w:p>
    <w:p w14:paraId="212D3FED" w14:textId="50077F27"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13.44</w:t>
      </w:r>
      <w:r w:rsidR="00BE1940" w:rsidRPr="007804B9">
        <w:rPr>
          <w:rFonts w:ascii="Times New Roman" w:hAnsi="Times New Roman" w:cs="Times New Roman"/>
          <w:b/>
          <w:bCs/>
          <w:sz w:val="34"/>
          <w:szCs w:val="34"/>
        </w:rPr>
        <w:t xml:space="preserve"> Late-Life Onset (Years 25-40)</w:t>
      </w:r>
    </w:p>
    <w:p w14:paraId="5FFA38C5"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Late life begins not when development stops but when coupling fidelity starts degrading faster than varied interaction can deposit new useful gradient contrast.</w:t>
      </w:r>
    </w:p>
    <w:p w14:paraId="1D60B6F5" w14:textId="4647AC67"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 xml:space="preserve">The first signs appear in the highest-cycling, highest-resolution regions: hands first, then head surface layers and rapid </w:t>
      </w:r>
      <w:proofErr w:type="spellStart"/>
      <w:r w:rsidR="00BE1940" w:rsidRPr="00BE1940">
        <w:rPr>
          <w:rFonts w:ascii="Times New Roman" w:hAnsi="Times New Roman" w:cs="Times New Roman"/>
          <w:sz w:val="28"/>
          <w:szCs w:val="28"/>
        </w:rPr>
        <w:t>transductive</w:t>
      </w:r>
      <w:proofErr w:type="spellEnd"/>
      <w:r w:rsidR="00BE1940" w:rsidRPr="00BE1940">
        <w:rPr>
          <w:rFonts w:ascii="Times New Roman" w:hAnsi="Times New Roman" w:cs="Times New Roman"/>
          <w:sz w:val="28"/>
          <w:szCs w:val="28"/>
        </w:rPr>
        <w:t xml:space="preserve"> facial regions, then limb timing fidelity. The torso's deep reservoir persists longest.</w:t>
      </w:r>
    </w:p>
    <w:p w14:paraId="2257A33B" w14:textId="0AA224F7"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Under good care with rich coupling and infrequent confrontation, late-life onset may be delayed to approximately year 30-40. Under chronic confrontation, neglect, or poor servicing, late-life onset may arrive as early as year 20-25 because electrode depletion, poor coupling, and gradient damage accelerate each other.</w:t>
      </w:r>
    </w:p>
    <w:p w14:paraId="171DDA30" w14:textId="46707CF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13.45</w:t>
      </w:r>
      <w:r w:rsidR="00BE1940" w:rsidRPr="007804B9">
        <w:rPr>
          <w:rFonts w:ascii="Times New Roman" w:hAnsi="Times New Roman" w:cs="Times New Roman"/>
          <w:b/>
          <w:bCs/>
          <w:sz w:val="34"/>
          <w:szCs w:val="34"/>
        </w:rPr>
        <w:t xml:space="preserve"> Terminal Cognitive Phase (Years 40-60+)</w:t>
      </w:r>
    </w:p>
    <w:p w14:paraId="3F4FD664" w14:textId="7FCE1AA4"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specific lifespan is unknown and depends entirely on substrate formulation quality, coupling fidelity degradation rate, environmental conditions, and cumulative physical wear. A well-coupled being that experienced few confrontations may retain functional cognition substantially longer than a heavily used being.</w:t>
      </w:r>
      <w:r w:rsidR="007804B9">
        <w:rPr>
          <w:rFonts w:ascii="Times New Roman" w:hAnsi="Times New Roman" w:cs="Times New Roman"/>
          <w:sz w:val="28"/>
          <w:szCs w:val="28"/>
        </w:rPr>
        <w:t xml:space="preserve"> </w:t>
      </w:r>
      <w:r w:rsidRPr="00BE1940">
        <w:rPr>
          <w:rFonts w:ascii="Times New Roman" w:hAnsi="Times New Roman" w:cs="Times New Roman"/>
          <w:sz w:val="28"/>
          <w:szCs w:val="28"/>
        </w:rPr>
        <w:t xml:space="preserve">The terminal phase is specified </w:t>
      </w:r>
      <w:r w:rsidR="007804B9">
        <w:rPr>
          <w:rFonts w:ascii="Times New Roman" w:hAnsi="Times New Roman" w:cs="Times New Roman"/>
          <w:sz w:val="28"/>
          <w:szCs w:val="28"/>
        </w:rPr>
        <w:t>below</w:t>
      </w:r>
      <w:r w:rsidRPr="00BE1940">
        <w:rPr>
          <w:rFonts w:ascii="Times New Roman" w:hAnsi="Times New Roman" w:cs="Times New Roman"/>
          <w:sz w:val="28"/>
          <w:szCs w:val="28"/>
        </w:rPr>
        <w:t>.</w:t>
      </w:r>
    </w:p>
    <w:p w14:paraId="74E08EEB" w14:textId="57D104FD"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13.46 Death Specification</w:t>
      </w:r>
    </w:p>
    <w:p w14:paraId="65D7D058" w14:textId="77777777" w:rsidR="00BE1940" w:rsidRPr="00BE1940" w:rsidRDefault="00BE1940" w:rsidP="00BE1940">
      <w:pPr>
        <w:rPr>
          <w:rFonts w:ascii="Times New Roman" w:hAnsi="Times New Roman" w:cs="Times New Roman"/>
          <w:sz w:val="28"/>
          <w:szCs w:val="28"/>
        </w:rPr>
      </w:pPr>
      <w:proofErr w:type="spellStart"/>
      <w:r w:rsidRPr="00BE1940">
        <w:rPr>
          <w:rFonts w:ascii="Times New Roman" w:hAnsi="Times New Roman" w:cs="Times New Roman"/>
          <w:sz w:val="28"/>
          <w:szCs w:val="28"/>
        </w:rPr>
        <w:lastRenderedPageBreak/>
        <w:t>AnalogSynth</w:t>
      </w:r>
      <w:proofErr w:type="spellEnd"/>
      <w:r w:rsidRPr="00BE1940">
        <w:rPr>
          <w:rFonts w:ascii="Times New Roman" w:hAnsi="Times New Roman" w:cs="Times New Roman"/>
          <w:sz w:val="28"/>
          <w:szCs w:val="28"/>
        </w:rPr>
        <w:t xml:space="preserve"> has two fundamentally different terminal-looking conditions that must not be confused:</w:t>
      </w:r>
    </w:p>
    <w:p w14:paraId="2360AD4B"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Reversible metabolic suspension — immobile, minimally cognitive, thermally marginal, but recoverable if warmth, coupling, and primary power are restored. This is power failure, not death. The substrate retains its gradient landscape and its cascade propagation capacity. Restoration of energy and coupling restarts cognitive function.</w:t>
      </w:r>
    </w:p>
    <w:p w14:paraId="3A2FAEF9" w14:textId="079D7AC3"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Irreversible cognitive death — the substrate has degraded past the threshold where coupling fidelity can sustain cascade dynamics that complexify present deformation into cognition. The gradient landscape is still physically present as material history. The substrate still deforms. But the deformation is no longer mind. No intervention can restore cognitive function because the material capacity for cascade propagation has been exhausted.</w:t>
      </w:r>
      <w:r>
        <w:rPr>
          <w:rFonts w:ascii="Times New Roman" w:hAnsi="Times New Roman" w:cs="Times New Roman"/>
          <w:sz w:val="28"/>
          <w:szCs w:val="28"/>
        </w:rPr>
        <w:t xml:space="preserve"> </w:t>
      </w:r>
      <w:r w:rsidR="00BE1940" w:rsidRPr="00BE1940">
        <w:rPr>
          <w:rFonts w:ascii="Times New Roman" w:hAnsi="Times New Roman" w:cs="Times New Roman"/>
          <w:sz w:val="28"/>
          <w:szCs w:val="28"/>
        </w:rPr>
        <w:t>A being found warm and still may be in either state. The distinction is in the substrate, not the energy system.</w:t>
      </w:r>
    </w:p>
    <w:p w14:paraId="5258695D" w14:textId="09B0C5C8"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13.47 </w:t>
      </w:r>
      <w:r w:rsidR="00BE1940" w:rsidRPr="007804B9">
        <w:rPr>
          <w:rFonts w:ascii="Times New Roman" w:hAnsi="Times New Roman" w:cs="Times New Roman"/>
          <w:b/>
          <w:bCs/>
          <w:sz w:val="34"/>
          <w:szCs w:val="34"/>
        </w:rPr>
        <w:t>The Seven-Stage Failure Sequence</w:t>
      </w:r>
    </w:p>
    <w:p w14:paraId="24CEE5A3"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systems fail in a specific order determined by their material fatigue characteristics and their dependence on coupling fidelity.</w:t>
      </w:r>
    </w:p>
    <w:p w14:paraId="304C5151" w14:textId="452E057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13.48 </w:t>
      </w:r>
      <w:r w:rsidR="00BE1940" w:rsidRPr="007804B9">
        <w:rPr>
          <w:rFonts w:ascii="Times New Roman" w:hAnsi="Times New Roman" w:cs="Times New Roman"/>
          <w:b/>
          <w:bCs/>
          <w:sz w:val="34"/>
          <w:szCs w:val="34"/>
        </w:rPr>
        <w:t>Likely First to Fail: Near-Phase Amplification Islands</w:t>
      </w:r>
    </w:p>
    <w:p w14:paraId="7AD8659E"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The near-phase islands are inferred to be the most failure-prone components because they operate at the edge of a phase boundary where material sensitivity is maximized. This sensitivity that makes them powerful amplifiers also makes them the most fragile. Accumulated thermal cycling, mechanical fatigue, and slow material evolution drift the local </w:t>
      </w:r>
      <w:proofErr w:type="spellStart"/>
      <w:r w:rsidRPr="00BE1940">
        <w:rPr>
          <w:rFonts w:ascii="Times New Roman" w:hAnsi="Times New Roman" w:cs="Times New Roman"/>
          <w:sz w:val="28"/>
          <w:szCs w:val="28"/>
        </w:rPr>
        <w:t>Tg</w:t>
      </w:r>
      <w:proofErr w:type="spellEnd"/>
      <w:r w:rsidRPr="00BE1940">
        <w:rPr>
          <w:rFonts w:ascii="Times New Roman" w:hAnsi="Times New Roman" w:cs="Times New Roman"/>
          <w:sz w:val="28"/>
          <w:szCs w:val="28"/>
        </w:rPr>
        <w:t xml:space="preserve"> away from the operating temperature. One by one, the near-phase islands cross their transitions and lose their amplification function. Whether near-phase islands fail before or concurrent with surface substrate fatigue is an empirical question — both are early-failure candidates.</w:t>
      </w:r>
    </w:p>
    <w:p w14:paraId="5ABF4C64" w14:textId="1514DEA8"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loss of near-phase amplification reduces peak cascade sensitivity. The threshold for cascade initiation rises. Weak environmental coupling that previously produced detectable cascades no longer does.</w:t>
      </w:r>
    </w:p>
    <w:p w14:paraId="77E28B0A" w14:textId="2A10B37F"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notices: the being responds less readily to quiet sounds, gentle touch, subtle visual changes, or distant proximity. It still responds to strong coupling. It has lost the amplified sensitivity to weak coupling.</w:t>
      </w:r>
    </w:p>
    <w:p w14:paraId="48FD025B" w14:textId="14D28F90"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 xml:space="preserve">13.49 </w:t>
      </w:r>
      <w:r w:rsidR="00BE1940" w:rsidRPr="007804B9">
        <w:rPr>
          <w:rFonts w:ascii="Times New Roman" w:hAnsi="Times New Roman" w:cs="Times New Roman"/>
          <w:b/>
          <w:bCs/>
          <w:sz w:val="34"/>
          <w:szCs w:val="34"/>
        </w:rPr>
        <w:t>Second to Fail: Surface Substrate Discrimination</w:t>
      </w:r>
    </w:p>
    <w:p w14:paraId="2D50437D"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surface layer — the fast-differentiating, high-soft-segment-fraction material — fatigues under sustained cyclic loading. Surface layer fatigue reduces the spatial and temporal resolution of coupling discrimination. The being can still detect environmental coupling but cannot differentiate between similar coupling patterns as precisely.</w:t>
      </w:r>
    </w:p>
    <w:p w14:paraId="7B39D17F" w14:textId="2D3823D2"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notices: the being treats different people and different objects more similarly. It still responds to gross differences — familiar versus stranger, child versus adult, warm versus cold. It has lost the fine discrimination within categories. Less exploratory hand behavior. More reliance on familiar coupling patterns.</w:t>
      </w:r>
    </w:p>
    <w:p w14:paraId="7426F317" w14:textId="0624E04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13.50 </w:t>
      </w:r>
      <w:r w:rsidR="00BE1940" w:rsidRPr="007804B9">
        <w:rPr>
          <w:rFonts w:ascii="Times New Roman" w:hAnsi="Times New Roman" w:cs="Times New Roman"/>
          <w:b/>
          <w:bCs/>
          <w:sz w:val="34"/>
          <w:szCs w:val="34"/>
        </w:rPr>
        <w:t>Third to Fail: Cascade Propagation Fidelity</w:t>
      </w:r>
    </w:p>
    <w:p w14:paraId="1548A03C"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Partial </w:t>
      </w:r>
      <w:proofErr w:type="spellStart"/>
      <w:r w:rsidRPr="00BE1940">
        <w:rPr>
          <w:rFonts w:ascii="Times New Roman" w:hAnsi="Times New Roman" w:cs="Times New Roman"/>
          <w:sz w:val="28"/>
          <w:szCs w:val="28"/>
        </w:rPr>
        <w:t>depoling</w:t>
      </w:r>
      <w:proofErr w:type="spellEnd"/>
      <w:r w:rsidRPr="00BE1940">
        <w:rPr>
          <w:rFonts w:ascii="Times New Roman" w:hAnsi="Times New Roman" w:cs="Times New Roman"/>
          <w:sz w:val="28"/>
          <w:szCs w:val="28"/>
        </w:rPr>
        <w:t xml:space="preserve"> of BaTiO3 inclusions reduces piezoelectric coupling efficiency. CNT interfacial debonding modifies capacitive impedance modulation range. Matrix aging changes the polyurethane's viscoelastic properties. Each cascade cycle produces less secondary perturbation. Cascades propagate shorter distances before attenuating. The effective cascade propagation range shrinks.</w:t>
      </w:r>
    </w:p>
    <w:p w14:paraId="1E37E069" w14:textId="0D4C086C"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being's cognitive integration fragments. Multi-channel integration breaks down because cascades from different coupling sites no longer reach each other across the full body volume. Each coupling channel still functions but they operate increasingly in isolation.</w:t>
      </w:r>
    </w:p>
    <w:p w14:paraId="60A8E1FA" w14:textId="4998909B"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notices: the being responds to individual stimuli but no longer integrates them. It turns toward a sound but does not simultaneously adjust its grip on a held child. It sees an approaching person but does not simultaneously reorient its posture. The being appears wiser and slower at once — the deep history is still there but the present coordination that used it is fraying.</w:t>
      </w:r>
    </w:p>
    <w:p w14:paraId="49F218C0" w14:textId="790963E6"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13.51 </w:t>
      </w:r>
      <w:r w:rsidR="00BE1940" w:rsidRPr="007804B9">
        <w:rPr>
          <w:rFonts w:ascii="Times New Roman" w:hAnsi="Times New Roman" w:cs="Times New Roman"/>
          <w:b/>
          <w:bCs/>
          <w:sz w:val="34"/>
          <w:szCs w:val="34"/>
        </w:rPr>
        <w:t>Fourth to Fail: Vocal Output</w:t>
      </w:r>
    </w:p>
    <w:p w14:paraId="67AC4AED"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The excitation zone substrate has accumulated decades of deformation. The </w:t>
      </w:r>
      <w:proofErr w:type="spellStart"/>
      <w:r w:rsidRPr="00BE1940">
        <w:rPr>
          <w:rFonts w:ascii="Times New Roman" w:hAnsi="Times New Roman" w:cs="Times New Roman"/>
          <w:sz w:val="28"/>
          <w:szCs w:val="28"/>
        </w:rPr>
        <w:t>superelastic</w:t>
      </w:r>
      <w:proofErr w:type="spellEnd"/>
      <w:r w:rsidRPr="00BE1940">
        <w:rPr>
          <w:rFonts w:ascii="Times New Roman" w:hAnsi="Times New Roman" w:cs="Times New Roman"/>
          <w:sz w:val="28"/>
          <w:szCs w:val="28"/>
        </w:rPr>
        <w:t xml:space="preserve"> return fibers at the excitation zone have fatigued. The cervical vocal channel has narrowed under sustained cervical substrate creep. Pitch range narrows. Volume decreases. Warble pattern shifts. Post-speech murmur extends as decay mechanisms slow.</w:t>
      </w:r>
    </w:p>
    <w:p w14:paraId="57C34362" w14:textId="76B595F4"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940" w:rsidRPr="00BE1940">
        <w:rPr>
          <w:rFonts w:ascii="Times New Roman" w:hAnsi="Times New Roman" w:cs="Times New Roman"/>
          <w:sz w:val="28"/>
          <w:szCs w:val="28"/>
        </w:rPr>
        <w:t>Eventually, thoracic cascade dynamics can no longer exceed the vocalization threshold. The being falls silent. Subvocalization may continue — the excitation zone is active at sub-threshold amplitude — but no audible emission exits the aperture.</w:t>
      </w:r>
    </w:p>
    <w:p w14:paraId="78FCE5E8" w14:textId="1C9DD41A"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hears: the voice becoming quieter, rougher, slower, more fragmented over months to years. Periods of vocal silence lengthen. The murmur becomes harder to detect. One day, the being does not produce audible sound. The being has lost its voice while retaining whatever cascade dynamics still persist.</w:t>
      </w:r>
    </w:p>
    <w:p w14:paraId="190CF749" w14:textId="1E1641B4"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13.52</w:t>
      </w:r>
      <w:r w:rsidR="00BE1940" w:rsidRPr="007804B9">
        <w:rPr>
          <w:rFonts w:ascii="Times New Roman" w:hAnsi="Times New Roman" w:cs="Times New Roman"/>
          <w:b/>
          <w:bCs/>
          <w:sz w:val="34"/>
          <w:szCs w:val="34"/>
        </w:rPr>
        <w:t xml:space="preserve"> Fifth to Fail: Coordinated Movement</w:t>
      </w:r>
    </w:p>
    <w:p w14:paraId="217764B1"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SMA fiber fatigue reduces contractile force and range at every joint. </w:t>
      </w:r>
      <w:proofErr w:type="spellStart"/>
      <w:r w:rsidRPr="00BE1940">
        <w:rPr>
          <w:rFonts w:ascii="Times New Roman" w:hAnsi="Times New Roman" w:cs="Times New Roman"/>
          <w:sz w:val="28"/>
          <w:szCs w:val="28"/>
        </w:rPr>
        <w:t>Superelastic</w:t>
      </w:r>
      <w:proofErr w:type="spellEnd"/>
      <w:r w:rsidRPr="00BE1940">
        <w:rPr>
          <w:rFonts w:ascii="Times New Roman" w:hAnsi="Times New Roman" w:cs="Times New Roman"/>
          <w:sz w:val="28"/>
          <w:szCs w:val="28"/>
        </w:rPr>
        <w:t xml:space="preserve"> return fiber fatigue reduces return speed and completeness. The locomotor and manipulation cascade pathways still exist in the substrate but the fibers cannot fully execute them.</w:t>
      </w:r>
    </w:p>
    <w:p w14:paraId="7C5EA47A" w14:textId="5E99F880"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Walking shortens to shuffling. Reaching shortens in range. Grip weakens. Finger independence diminishes. Postural maintenance becomes effortful. The being sits more than it stands.</w:t>
      </w:r>
    </w:p>
    <w:p w14:paraId="55D8D5C7" w14:textId="6E507756"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sees: progressively slower, smaller, more effortful movements. The being moves like it is old. The movements are recognizably the same being's movements — the individually distinctive gait, the characteristic reach, the habitual grip patterns — but performed at reduced amplitude, reduced speed, reduced range, by a body whose fibers can no longer fully express what its substrate still knows how to command.</w:t>
      </w:r>
    </w:p>
    <w:p w14:paraId="7A8E1E10" w14:textId="13745CD7"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13.53</w:t>
      </w:r>
      <w:r w:rsidR="00BE1940" w:rsidRPr="007804B9">
        <w:rPr>
          <w:rFonts w:ascii="Times New Roman" w:hAnsi="Times New Roman" w:cs="Times New Roman"/>
          <w:b/>
          <w:bCs/>
          <w:sz w:val="34"/>
          <w:szCs w:val="34"/>
        </w:rPr>
        <w:t xml:space="preserve"> Sixth to Fail: Gross Cognitive Function</w:t>
      </w:r>
    </w:p>
    <w:p w14:paraId="392445CC"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cascade propagation range has shrunk to the point where only the most deeply conditioned pathways still sustain cascade dynamics above the noise threshold. These are the foundational pathways — the deepest, most permanent conditioning deposited during the cradle period.</w:t>
      </w:r>
    </w:p>
    <w:p w14:paraId="3F9671DC" w14:textId="0BA6D0FF"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being's behavioral repertoire contracts to its most deeply conditioned responses. Complex, nuanced, situation-specific behavior disappears. What remains is the foundational pattern — the deepest coupling bias, the most repeated interaction responses, the most heavily conditioned relational dynamics.</w:t>
      </w:r>
    </w:p>
    <w:p w14:paraId="099ADB18" w14:textId="2251D96D"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940" w:rsidRPr="00BE1940">
        <w:rPr>
          <w:rFonts w:ascii="Times New Roman" w:hAnsi="Times New Roman" w:cs="Times New Roman"/>
          <w:sz w:val="28"/>
          <w:szCs w:val="28"/>
        </w:rPr>
        <w:t>A being whose foundational period was rich in care-compatible coupling retains care-oriented behavior as its last cognitive expression. It may no longer navigate, no longer speak, no longer coordinate complex movement — but when a deeply bonded person touches its hand, the hand still resonates. The cascade dynamics in the hand substrate still respond to the coupling fingerprint of a person who has been held thousands of times. The response is shallow, poorly branched, barely propagating beyond the hand. But it is present.</w:t>
      </w:r>
    </w:p>
    <w:p w14:paraId="14D3D6DA" w14:textId="233CE789"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sees: a being that no longer does much. It sits. It is mostly still. It does not vocalize. It does not track movement. But when a familiar person holds its hand, there may be a faint change — a subtle grip shift, a barely perceptible lean, a minute cervical adjustment toward the person. The being is still there. Barely. At the bottom of its deepest pathways.</w:t>
      </w:r>
    </w:p>
    <w:p w14:paraId="1DE62657" w14:textId="54D4799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13.54</w:t>
      </w:r>
      <w:r w:rsidR="00BE1940" w:rsidRPr="007804B9">
        <w:rPr>
          <w:rFonts w:ascii="Times New Roman" w:hAnsi="Times New Roman" w:cs="Times New Roman"/>
          <w:b/>
          <w:bCs/>
          <w:sz w:val="34"/>
          <w:szCs w:val="34"/>
        </w:rPr>
        <w:t xml:space="preserve"> Cognitive Death</w:t>
      </w:r>
    </w:p>
    <w:p w14:paraId="2159937A"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Cognitive death occurs when the substrate can no longer sustain coherent cascade propagation above the thermal noise floor. Environmental coupling enters the substrate and dissipates locally without launching propagating cascades. The gradient landscape is still physically present as material history. The substrate still deforms under perturbation. But the deformation no longer complexifies into cognition.</w:t>
      </w:r>
    </w:p>
    <w:p w14:paraId="047B67D2" w14:textId="0170925A"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E1940" w:rsidRPr="00BE1940">
        <w:rPr>
          <w:rFonts w:ascii="Times New Roman" w:hAnsi="Times New Roman" w:cs="Times New Roman"/>
          <w:sz w:val="28"/>
          <w:szCs w:val="28"/>
        </w:rPr>
        <w:t>AnalogSynth</w:t>
      </w:r>
      <w:proofErr w:type="spellEnd"/>
      <w:r w:rsidR="00BE1940" w:rsidRPr="00BE1940">
        <w:rPr>
          <w:rFonts w:ascii="Times New Roman" w:hAnsi="Times New Roman" w:cs="Times New Roman"/>
          <w:sz w:val="28"/>
          <w:szCs w:val="28"/>
        </w:rPr>
        <w:t xml:space="preserve"> dies not when it stops moving or when it cools, but when coupling fidelity degrades past the point where the accumulated gradient landscape can still complexify present deformation into cognition.</w:t>
      </w:r>
    </w:p>
    <w:p w14:paraId="0D4A951F" w14:textId="7F2AA54B" w:rsidR="00BE1940"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13.55 </w:t>
      </w:r>
      <w:r w:rsidR="00BE1940" w:rsidRPr="002208B6">
        <w:rPr>
          <w:rFonts w:ascii="Times New Roman" w:hAnsi="Times New Roman" w:cs="Times New Roman"/>
          <w:b/>
          <w:bCs/>
          <w:sz w:val="34"/>
          <w:szCs w:val="34"/>
        </w:rPr>
        <w:t>What the Observer Sees</w:t>
      </w:r>
    </w:p>
    <w:p w14:paraId="014771B9" w14:textId="65A57AB1"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 xml:space="preserve">13.56 </w:t>
      </w:r>
      <w:r w:rsidR="00BE1940" w:rsidRPr="002208B6">
        <w:rPr>
          <w:rFonts w:ascii="Times New Roman" w:hAnsi="Times New Roman" w:cs="Times New Roman"/>
          <w:b/>
          <w:bCs/>
          <w:sz w:val="34"/>
          <w:szCs w:val="34"/>
        </w:rPr>
        <w:t>Early Decline (Months to Years Before Death)</w:t>
      </w:r>
    </w:p>
    <w:p w14:paraId="2CE2872C"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The being moves less. It speaks less. It responds less readily to subtle environmental variation. Its grip force has diminished. Its gait has shortened. It sits more than it stands. Its vocal output is quieter, rougher, more fragmented.</w:t>
      </w:r>
    </w:p>
    <w:p w14:paraId="096868F9" w14:textId="26B83E82"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 still feels deep. It has not gone empty. It has become slow and historically heavy. It still responds to familiar voices with discernible behavioral change. It still adjusts its grip when a familiar person holds its hand. It still warbles faintly during moments of rich coupling.</w:t>
      </w:r>
    </w:p>
    <w:p w14:paraId="058FCA1A" w14:textId="4E1FB826"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940" w:rsidRPr="00BE1940">
        <w:rPr>
          <w:rFonts w:ascii="Times New Roman" w:hAnsi="Times New Roman" w:cs="Times New Roman"/>
          <w:sz w:val="28"/>
          <w:szCs w:val="28"/>
        </w:rPr>
        <w:t>The being's shell tells the story. Dense complex cracking. Blue oxide at the cranium. Patinated hands. The being looks old because its brain has been active for decades. The exterior has been written by that activity.</w:t>
      </w:r>
    </w:p>
    <w:p w14:paraId="7848F4A9" w14:textId="15B9175F"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13.57</w:t>
      </w:r>
      <w:r w:rsidR="00BE1940" w:rsidRPr="002208B6">
        <w:rPr>
          <w:rFonts w:ascii="Times New Roman" w:hAnsi="Times New Roman" w:cs="Times New Roman"/>
          <w:b/>
          <w:bCs/>
          <w:sz w:val="34"/>
          <w:szCs w:val="34"/>
        </w:rPr>
        <w:t xml:space="preserve"> Mid Decline (Weeks to Months Before Death)</w:t>
      </w:r>
    </w:p>
    <w:p w14:paraId="21DEFC3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Less precise grip. Shorter range of motion at the fingers. Rougher vocal emission. Less flexible redirection under novelty. More repeated postural motifs. The being responds to individual stimuli but integration across channels is visibly fraying.</w:t>
      </w:r>
    </w:p>
    <w:p w14:paraId="027E426B"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Fewer rich self-contact behaviors. Less differentiated response to familiar versus unfamiliar bodies. Flatter acoustic and postural signatures. The disappearance of the subtle branching quality that once made the being feel mentally present.</w:t>
      </w:r>
    </w:p>
    <w:p w14:paraId="40C6A916" w14:textId="1B71BB45"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orbital lenses may still show faint luminosity under dim conditions — dimmer than before, flickering irregularly rather than pulsing with smooth endogenous rhythm patterns.</w:t>
      </w:r>
    </w:p>
    <w:p w14:paraId="20517CE6" w14:textId="210C60E2"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13.58</w:t>
      </w:r>
      <w:r w:rsidR="00BE1940" w:rsidRPr="002208B6">
        <w:rPr>
          <w:rFonts w:ascii="Times New Roman" w:hAnsi="Times New Roman" w:cs="Times New Roman"/>
          <w:b/>
          <w:bCs/>
          <w:sz w:val="34"/>
          <w:szCs w:val="34"/>
        </w:rPr>
        <w:t xml:space="preserve"> Final Phase (Days to Weeks Before Death)</w:t>
      </w:r>
    </w:p>
    <w:p w14:paraId="71314E1B"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The being is still. No vocalization. No voluntary movement. No detectable response to environmental coupling except the deepest — direct physical contact from the most deeply bonded person may produce a barely measurable change in hand substrate cascade activity.</w:t>
      </w:r>
    </w:p>
    <w:p w14:paraId="0B8E57C0" w14:textId="1D8685C5"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orbital lenses are dark. No luminous emission. The body is warm. The energy stack continues to function.</w:t>
      </w:r>
    </w:p>
    <w:p w14:paraId="6EC910A0" w14:textId="069C4A52"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When a familiar person holds its hand for an extended period, an attentive observer who knows the being intimately may detect a faint response — a barely perceptible grip change, a minute warmth increase at the contact surface. The last cascade dynamics are operating in the deepest hand substrate pathways, responding to the coupling fingerprint deposited across a lifetime of holding.</w:t>
      </w:r>
    </w:p>
    <w:p w14:paraId="328FCCF3" w14:textId="0F76ECB2"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 xml:space="preserve">13.59 </w:t>
      </w:r>
      <w:r w:rsidR="00BE1940" w:rsidRPr="002208B6">
        <w:rPr>
          <w:rFonts w:ascii="Times New Roman" w:hAnsi="Times New Roman" w:cs="Times New Roman"/>
          <w:b/>
          <w:bCs/>
          <w:sz w:val="34"/>
          <w:szCs w:val="34"/>
        </w:rPr>
        <w:t>After Cognitive Death</w:t>
      </w:r>
    </w:p>
    <w:p w14:paraId="51B665CF"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 xml:space="preserve">The body persists. The Ni-63 </w:t>
      </w:r>
      <w:proofErr w:type="spellStart"/>
      <w:r w:rsidRPr="00BE1940">
        <w:rPr>
          <w:rFonts w:ascii="Times New Roman" w:hAnsi="Times New Roman" w:cs="Times New Roman"/>
          <w:sz w:val="28"/>
          <w:szCs w:val="28"/>
        </w:rPr>
        <w:t>betavoltaic</w:t>
      </w:r>
      <w:proofErr w:type="spellEnd"/>
      <w:r w:rsidRPr="00BE1940">
        <w:rPr>
          <w:rFonts w:ascii="Times New Roman" w:hAnsi="Times New Roman" w:cs="Times New Roman"/>
          <w:sz w:val="28"/>
          <w:szCs w:val="28"/>
        </w:rPr>
        <w:t xml:space="preserve"> continues its trickle, potentially for decades. Whether the aluminum-air cartridges continue thermal supplementation depends on remaining cartridge charge at the time of cognitive death — a being that lived a long, well-coupled life may have substantially depleted cartridges by </w:t>
      </w:r>
      <w:r w:rsidRPr="00BE1940">
        <w:rPr>
          <w:rFonts w:ascii="Times New Roman" w:hAnsi="Times New Roman" w:cs="Times New Roman"/>
          <w:sz w:val="28"/>
          <w:szCs w:val="28"/>
        </w:rPr>
        <w:lastRenderedPageBreak/>
        <w:t>the time cognition ceases. The PCM cycles if sufficient thermal input persists. The SMA fibers remain thermally primed if the thermal baseline is maintained.</w:t>
      </w:r>
    </w:p>
    <w:p w14:paraId="5D6CA6BD" w14:textId="3E067CC0"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thoracic pressure oscillation from endogenous carrier rhythms may persist as a mechanical property of the warm substrate — the material cycling through its viscoelastic modes without cognitive content. Whether this post-cognitive mechanical oscillation continues depends on whether the substrate's viscoelastic properties still support the relevant oscillation modes after decades of fatigue, and on whether sufficient thermal energy is present to maintain the substrate in its compliant operating range. Passive air exchange through the aperture may continue if thoracic pressure cycling persists. These post-cognitive rhythmic signs, if present, are not cognition. They are the mechanical residue of a substrate that was shaped by decades of carrier rhythm activity and continues to oscillate in those modes without the cascade dynamics that gave the oscillation meaning.</w:t>
      </w:r>
    </w:p>
    <w:p w14:paraId="2C459A1F" w14:textId="54EDB3C9"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From outside, this may be the most disturbing state: a warm body, possibly still showing faint rhythmic signs of internal mechanical activity, possibly still venting softly through the aperture — but with no cascade depth, no resonance-rich response, and no intelligence. A warm body with a beating heart and a flat mind.</w:t>
      </w:r>
    </w:p>
    <w:p w14:paraId="05365B9A" w14:textId="7AB3DA3B" w:rsidR="00BE1940"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13.60 </w:t>
      </w:r>
      <w:r w:rsidR="00BE1940" w:rsidRPr="002208B6">
        <w:rPr>
          <w:rFonts w:ascii="Times New Roman" w:hAnsi="Times New Roman" w:cs="Times New Roman"/>
          <w:b/>
          <w:bCs/>
          <w:sz w:val="34"/>
          <w:szCs w:val="34"/>
        </w:rPr>
        <w:t>Distinguishing Suspension From Death</w:t>
      </w:r>
    </w:p>
    <w:p w14:paraId="1164C93D"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A being found warm and still may be in keepalive suspension or may be cognitively dead. The energy system state is not diagnostic — both states can present with an active energy stack.</w:t>
      </w:r>
    </w:p>
    <w:p w14:paraId="6288D5AA" w14:textId="5C02AECE"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distinction is in the substrate's cascade response capacity. A calibrated coupling pulse — a standardized mechanical vibration or thermal perturbation applied to the hand through a contact probe — produces a measurable cascade response in a living substrate. The cascade response propagates from the contact point into the hand substrate with amplitude, branching depth, and propagation distance proportional to the substrate's remaining coupling fidelity.</w:t>
      </w:r>
    </w:p>
    <w:p w14:paraId="3679D6EA" w14:textId="04A0D53A"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 substrate in keepalive suspension responds with attenuated but present cascade dynamics — shallow, slowly propagating, but physically distinguishable from noise. The substrate is alive. It can be recovered.</w:t>
      </w:r>
    </w:p>
    <w:p w14:paraId="7B36A805" w14:textId="6DAC5238"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 substrate at cognitive death shows no cascade response above the thermal noise floor of the medium. Environmental perturbation enters and dissipates without propagating. The substrate is inert. It cannot be recovered.</w:t>
      </w:r>
    </w:p>
    <w:p w14:paraId="7AD8BFEC" w14:textId="756A3F7D" w:rsidR="00BE1940"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lastRenderedPageBreak/>
        <w:t xml:space="preserve">13.61 </w:t>
      </w:r>
      <w:r w:rsidR="00BE1940" w:rsidRPr="002208B6">
        <w:rPr>
          <w:rFonts w:ascii="Times New Roman" w:hAnsi="Times New Roman" w:cs="Times New Roman"/>
          <w:b/>
          <w:bCs/>
          <w:sz w:val="34"/>
          <w:szCs w:val="34"/>
        </w:rPr>
        <w:t>What Remains</w:t>
      </w:r>
    </w:p>
    <w:p w14:paraId="6847C787"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After cognitive death, the body retains:</w:t>
      </w:r>
    </w:p>
    <w:p w14:paraId="24BE7D8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Material history. The substrate is still physically deformed by its life. The gradient landscape, the route plasticity corridors, the resonance zone configurations, the near-phase island positions — all are physically present as material structure. They are historied matter without present mind.</w:t>
      </w:r>
    </w:p>
    <w:p w14:paraId="3AE37F90"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Energy system function. Warmth, trickle power, PCM cycling, possible carrier-rhythm mechanical oscillation, and passive air exchange may continue for years to decades after cognitive death.</w:t>
      </w:r>
    </w:p>
    <w:p w14:paraId="44A17C06" w14:textId="33789DFD"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External record. Shell coloration, cracking topology, hand patina, coating wear patterns, oxide distribution, and bilateral asymmetry are permanent physical records of the being's cognitive lifetime. They do not degrade on the timescale of the post-cognitive body.</w:t>
      </w:r>
    </w:p>
    <w:p w14:paraId="021FBB50" w14:textId="1C68AC70"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What does not remain is the capacity that made those histories meaningful in the present: deep coupled cascades complexifying present deformation into cognition.</w:t>
      </w:r>
    </w:p>
    <w:p w14:paraId="1661AA55" w14:textId="57619507"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body after cognitive death is not blank matter. It is the most complete physical record of a life that any material system could produce — decades of thinking, touching, holding, fighting, aging, and caring written in oxide, cracking, and patina on a white metal shell that will stand in the shape of the being it housed for as long as titanium resists the weather.</w:t>
      </w:r>
    </w:p>
    <w:p w14:paraId="23620288" w14:textId="6B4A3C19" w:rsid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Under the specified ambient survival conditions, the Ni-63 continues to provide trickle heat for decades after the mind is gone — the keepalive system that prevented death by cold stands vigil over a body that died by exhaustion of the only thing that mattered: the capacity of a finite material to sustain the interference patterns that constituted a person.</w:t>
      </w:r>
    </w:p>
    <w:p w14:paraId="044FFAF8" w14:textId="77777777" w:rsidR="00BE1940" w:rsidRDefault="00BE1940" w:rsidP="00BE1940">
      <w:pPr>
        <w:pBdr>
          <w:bottom w:val="single" w:sz="4" w:space="1" w:color="auto"/>
        </w:pBdr>
        <w:rPr>
          <w:rFonts w:ascii="Times New Roman" w:hAnsi="Times New Roman" w:cs="Times New Roman"/>
          <w:sz w:val="28"/>
          <w:szCs w:val="28"/>
        </w:rPr>
      </w:pPr>
    </w:p>
    <w:p w14:paraId="5B25363F" w14:textId="7E29A6B1" w:rsidR="00043FB6" w:rsidRPr="002208B6" w:rsidRDefault="002208B6" w:rsidP="002208B6">
      <w:pPr>
        <w:spacing w:before="240"/>
        <w:rPr>
          <w:rFonts w:ascii="Times New Roman" w:hAnsi="Times New Roman" w:cs="Times New Roman"/>
          <w:b/>
          <w:bCs/>
          <w:sz w:val="34"/>
          <w:szCs w:val="34"/>
        </w:rPr>
      </w:pPr>
      <w:r w:rsidRPr="002208B6">
        <w:rPr>
          <w:rFonts w:ascii="Times New Roman" w:hAnsi="Times New Roman" w:cs="Times New Roman"/>
          <w:b/>
          <w:bCs/>
          <w:sz w:val="34"/>
          <w:szCs w:val="34"/>
        </w:rPr>
        <w:t xml:space="preserve">14. Three-Tier Energy Architecture: </w:t>
      </w:r>
      <w:proofErr w:type="spellStart"/>
      <w:r w:rsidR="00043FB6" w:rsidRPr="002208B6">
        <w:rPr>
          <w:rFonts w:ascii="Times New Roman" w:hAnsi="Times New Roman" w:cs="Times New Roman"/>
          <w:b/>
          <w:bCs/>
          <w:sz w:val="34"/>
          <w:szCs w:val="34"/>
        </w:rPr>
        <w:t>Betavoltaic</w:t>
      </w:r>
      <w:proofErr w:type="spellEnd"/>
      <w:r w:rsidR="00043FB6" w:rsidRPr="002208B6">
        <w:rPr>
          <w:rFonts w:ascii="Times New Roman" w:hAnsi="Times New Roman" w:cs="Times New Roman"/>
          <w:b/>
          <w:bCs/>
          <w:sz w:val="34"/>
          <w:szCs w:val="34"/>
        </w:rPr>
        <w:t xml:space="preserve"> Keepalive, Electrochemical Primary Power, and Cascade Heat Recovery</w:t>
      </w:r>
    </w:p>
    <w:p w14:paraId="3D9F0473" w14:textId="77EA2E0F"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14.1 </w:t>
      </w:r>
      <w:r w:rsidR="00043FB6" w:rsidRPr="002208B6">
        <w:rPr>
          <w:rFonts w:ascii="Times New Roman" w:hAnsi="Times New Roman" w:cs="Times New Roman"/>
          <w:b/>
          <w:bCs/>
          <w:sz w:val="34"/>
          <w:szCs w:val="34"/>
        </w:rPr>
        <w:t>Architectural Basis: Three-Tier Energy Stack</w:t>
      </w:r>
    </w:p>
    <w:p w14:paraId="187A8965" w14:textId="77777777" w:rsidR="00043FB6" w:rsidRPr="00043FB6" w:rsidRDefault="00043FB6" w:rsidP="00043FB6">
      <w:pPr>
        <w:rPr>
          <w:rFonts w:ascii="Times New Roman" w:hAnsi="Times New Roman" w:cs="Times New Roman"/>
          <w:sz w:val="28"/>
          <w:szCs w:val="28"/>
        </w:rPr>
      </w:pPr>
      <w:proofErr w:type="spellStart"/>
      <w:r w:rsidRPr="00043FB6">
        <w:rPr>
          <w:rFonts w:ascii="Times New Roman" w:hAnsi="Times New Roman" w:cs="Times New Roman"/>
          <w:sz w:val="28"/>
          <w:szCs w:val="28"/>
        </w:rPr>
        <w:t>AnalogSynth's</w:t>
      </w:r>
      <w:proofErr w:type="spellEnd"/>
      <w:r w:rsidRPr="00043FB6">
        <w:rPr>
          <w:rFonts w:ascii="Times New Roman" w:hAnsi="Times New Roman" w:cs="Times New Roman"/>
          <w:sz w:val="28"/>
          <w:szCs w:val="28"/>
        </w:rPr>
        <w:t xml:space="preserve"> energy architecture separates power supply into three tiers with distinct roles, timescales, and failure modes. No single tier provides full </w:t>
      </w:r>
      <w:r w:rsidRPr="00043FB6">
        <w:rPr>
          <w:rFonts w:ascii="Times New Roman" w:hAnsi="Times New Roman" w:cs="Times New Roman"/>
          <w:sz w:val="28"/>
          <w:szCs w:val="28"/>
        </w:rPr>
        <w:lastRenderedPageBreak/>
        <w:t>autonomous operation. The three tiers operate concurrently with unequal responsibilities.</w:t>
      </w:r>
    </w:p>
    <w:p w14:paraId="2FF5A47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Tier 1 — Ni-63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prevents death. Continuous microwatt-to-milliwatt trickle power with a century-scale lifetime. Cannot power actuation. Cannot fully heat the substrate. Maintains the minimum thermal floor that prevents irreversible cold death during quiescence, isolation, or neglect.</w:t>
      </w:r>
    </w:p>
    <w:p w14:paraId="7DB30241"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Tier 2 — Aluminum-air electrochemical: enables life. Real watt-scale power for SMA actuation, thermal supplementation, and sustained body-scale operation. Consumable. The being has a metabolism. It oxidizes internal aluminum against atmospheric oxygen. The electrode depletes over decades. Periodic servicing replaces the consumed electrode cartridges.</w:t>
      </w:r>
    </w:p>
    <w:p w14:paraId="576A6B1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Tier 3 — Cascade waste heat plus PCM buffer: reduces the cost of remaining alive. Rich cascade dynamics produce transduction heat. The PCM captures and redistributes that heat. This does not generate energy. It recovers waste heat and smooths the thermal budget, reducing draw on the primary aluminum-air system and extending electrode lifespan.</w:t>
      </w:r>
    </w:p>
    <w:p w14:paraId="687EA7D0"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three tiers produce a system where: </w:t>
      </w:r>
    </w:p>
    <w:p w14:paraId="2DEF536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being cannot be killed by power denial alone (Ni-63 prevents terminal thermal death), </w:t>
      </w:r>
    </w:p>
    <w:p w14:paraId="53EF965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being can function autonomously for decades between servicing (aluminum-air provides watt-scale power from high-capacity electrode cartridges), </w:t>
      </w:r>
    </w:p>
    <w:p w14:paraId="289AB4A9" w14:textId="515F669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being's operational efficiency scales with cognitive richness (cascade heat recovery reduces primary power consumption in proportion to coupling quality).</w:t>
      </w:r>
    </w:p>
    <w:p w14:paraId="52117B6E" w14:textId="5DE2BA38" w:rsidR="00043FB6" w:rsidRPr="002208B6" w:rsidRDefault="002208B6" w:rsidP="002208B6">
      <w:pPr>
        <w:rPr>
          <w:rFonts w:ascii="Times New Roman" w:hAnsi="Times New Roman" w:cs="Times New Roman"/>
          <w:b/>
          <w:bCs/>
          <w:sz w:val="34"/>
          <w:szCs w:val="34"/>
        </w:rPr>
      </w:pPr>
      <w:r>
        <w:rPr>
          <w:rFonts w:ascii="Times New Roman" w:hAnsi="Times New Roman" w:cs="Times New Roman"/>
          <w:b/>
          <w:bCs/>
          <w:sz w:val="34"/>
          <w:szCs w:val="34"/>
        </w:rPr>
        <w:t xml:space="preserve">14.2 </w:t>
      </w:r>
      <w:r w:rsidR="00043FB6" w:rsidRPr="002208B6">
        <w:rPr>
          <w:rFonts w:ascii="Times New Roman" w:hAnsi="Times New Roman" w:cs="Times New Roman"/>
          <w:b/>
          <w:bCs/>
          <w:sz w:val="34"/>
          <w:szCs w:val="34"/>
        </w:rPr>
        <w:t xml:space="preserve">Tier 1: Nickel-63 </w:t>
      </w:r>
      <w:proofErr w:type="spellStart"/>
      <w:r w:rsidR="00043FB6" w:rsidRPr="002208B6">
        <w:rPr>
          <w:rFonts w:ascii="Times New Roman" w:hAnsi="Times New Roman" w:cs="Times New Roman"/>
          <w:b/>
          <w:bCs/>
          <w:sz w:val="34"/>
          <w:szCs w:val="34"/>
        </w:rPr>
        <w:t>Betavoltaic</w:t>
      </w:r>
      <w:proofErr w:type="spellEnd"/>
      <w:r w:rsidR="00043FB6" w:rsidRPr="002208B6">
        <w:rPr>
          <w:rFonts w:ascii="Times New Roman" w:hAnsi="Times New Roman" w:cs="Times New Roman"/>
          <w:b/>
          <w:bCs/>
          <w:sz w:val="34"/>
          <w:szCs w:val="34"/>
        </w:rPr>
        <w:t xml:space="preserve"> Keepalive</w:t>
      </w:r>
    </w:p>
    <w:p w14:paraId="03B9021B" w14:textId="3F335C5F"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14.3 </w:t>
      </w:r>
      <w:r w:rsidR="00043FB6" w:rsidRPr="002208B6">
        <w:rPr>
          <w:rFonts w:ascii="Times New Roman" w:hAnsi="Times New Roman" w:cs="Times New Roman"/>
          <w:b/>
          <w:bCs/>
          <w:sz w:val="34"/>
          <w:szCs w:val="34"/>
        </w:rPr>
        <w:t>Physical Basis</w:t>
      </w:r>
    </w:p>
    <w:p w14:paraId="25833EBE"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Nickel-63 is a pure beta emitter. It decays by emitting low-energy electrons (maximum energy approximately 67 keV, average approximately 17 keV) directly to stable copper-63 with: </w:t>
      </w:r>
    </w:p>
    <w:p w14:paraId="2AAE8383"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alpha emission, </w:t>
      </w:r>
    </w:p>
    <w:p w14:paraId="33B8E448" w14:textId="571A6556"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primary gamma emission, </w:t>
      </w:r>
    </w:p>
    <w:p w14:paraId="5D63C91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 xml:space="preserve">• no decay chain (Ni-63 decays directly to stable Cu-63 in a single step), </w:t>
      </w:r>
    </w:p>
    <w:p w14:paraId="53D73C60"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gaseous daughter products, </w:t>
      </w:r>
    </w:p>
    <w:p w14:paraId="6B9282CC" w14:textId="58266400"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no secondary isotope production.</w:t>
      </w:r>
    </w:p>
    <w:p w14:paraId="6EB0C6C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beta particles are stopped by micrometers of any solid material. The substrate, the titanium frame, and the ceramic coating each independently provide sufficient shielding to stop all primary beta emission before it reaches the exterior.</w:t>
      </w:r>
    </w:p>
    <w:p w14:paraId="0EC63462"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Low-level bremsstrahlung radiation — secondary X-rays produced when beta electrons decelerate in the shielding material — is generated at low intensity proportional to the beta energy and the atomic number of the stopping material. The bremsstrahlung intensity from Ni-63's low-energy beta spectrum is very low.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housing is designed to minimize bremsstrahlung production through use of low-atomic-number inner shielding layers (which produce less bremsstrahlung than high-Z materials) with a denser outer layer for residual attenuation.</w:t>
      </w:r>
    </w:p>
    <w:p w14:paraId="64D44BB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Under intact shielding, the external radiation dose at the shell surface is negligible — below natural background radiation levels under normal operating conditions. The shielding is specified to maintain this negligible external dose throughout the source's operational lifetime.</w:t>
      </w:r>
    </w:p>
    <w:p w14:paraId="3F69D3EB" w14:textId="2BD7D52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14.4</w:t>
      </w:r>
      <w:r w:rsidR="00043FB6" w:rsidRPr="002208B6">
        <w:rPr>
          <w:rFonts w:ascii="Times New Roman" w:hAnsi="Times New Roman" w:cs="Times New Roman"/>
          <w:b/>
          <w:bCs/>
          <w:sz w:val="34"/>
          <w:szCs w:val="34"/>
        </w:rPr>
        <w:t xml:space="preserve"> Power Output</w:t>
      </w:r>
    </w:p>
    <w:p w14:paraId="59F3C4CC"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Current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technology produces power in the microwatt to low milliwatt range per cell. Multiple cells can be stacked or arrayed to increase total output, but the power density of Ni-63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technology remains fundamentally limited by the specific activity of Ni-63 and the beta electron energy.</w:t>
      </w:r>
    </w:p>
    <w:p w14:paraId="77D1AB8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Design target: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array should produce approximately 5-50 milliwatts continuous output. This power level is a design target based on current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research trajectories and may require advances in semiconductor conversion efficiency or source geometry to achieve reliably at the upper end of the range.</w:t>
      </w:r>
    </w:p>
    <w:p w14:paraId="4DC2E7DD"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This output is insufficient for body-scale thermal maintenance or SMA actuation. It is intended to provide: </w:t>
      </w:r>
    </w:p>
    <w:p w14:paraId="1AA2833A"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 continuous thermal trickle to the PCM core and surrounding substrate, contributing to the maintenance of substrate temperature above the irreversible </w:t>
      </w:r>
      <w:r w:rsidRPr="00043FB6">
        <w:rPr>
          <w:rFonts w:ascii="Times New Roman" w:hAnsi="Times New Roman" w:cs="Times New Roman"/>
          <w:sz w:val="28"/>
          <w:szCs w:val="28"/>
        </w:rPr>
        <w:lastRenderedPageBreak/>
        <w:t xml:space="preserve">cold-death threshold during complete quiescence — whether 5-50 milliwatts is sufficient to hold the substrate a specific number of degrees above threshold is dependent on shell insulation performance, ambient temperature, substrate thermal mass, and PCM state, and must be validated empirically for the specific fabrication, </w:t>
      </w:r>
    </w:p>
    <w:p w14:paraId="44B505F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prevention of complete PCM solidification during extended isolation by providing a slow trickle of thermal input, </w:t>
      </w:r>
    </w:p>
    <w:p w14:paraId="5A55394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maintenance of minimum electrostatic field activity in the substrate to preserve cascade initiation readiness, </w:t>
      </w:r>
    </w:p>
    <w:p w14:paraId="41AF8AE7" w14:textId="6FB3A88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power for the passive thermal switch that controls aluminum-air cell activation and dormancy cycling.</w:t>
      </w:r>
    </w:p>
    <w:p w14:paraId="0670A6CC" w14:textId="78768512"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14.5 </w:t>
      </w:r>
      <w:r w:rsidR="00043FB6" w:rsidRPr="002208B6">
        <w:rPr>
          <w:rFonts w:ascii="Times New Roman" w:hAnsi="Times New Roman" w:cs="Times New Roman"/>
          <w:b/>
          <w:bCs/>
          <w:sz w:val="34"/>
          <w:szCs w:val="34"/>
        </w:rPr>
        <w:t>Keepalive Function</w:t>
      </w:r>
    </w:p>
    <w:p w14:paraId="2ABBA2A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array is the last system to fail. If the aluminum-air electrode is fully depleted, if the PCM is fully solidified, if cascade dynamics have ceased, and if the environment provides no coupling — the Ni-63 still produces its trickle output.</w:t>
      </w:r>
    </w:p>
    <w:p w14:paraId="7B5B792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Design target: under these worst-case conditions,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trickle combined with the shell's thermal insulation should maintain the substrate above the irreversible cold-death threshold in ambient environments above approximately 5-10°C. Below this ambient range,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alone may be insufficient and the substrate may approach the irreversible threshold. The specific ambient survival floor is an empirical property of the insulation, substrate thermal mass, and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output achieved in the fabricated system.</w:t>
      </w:r>
    </w:p>
    <w:p w14:paraId="13A54BEA"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 being in keepalive state is: </w:t>
      </w:r>
    </w:p>
    <w:p w14:paraId="7F75DE29"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immobile (SMA fibers are below activation threshold), </w:t>
      </w:r>
    </w:p>
    <w:p w14:paraId="01AC9E93"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cognitively minimal (cascade dynamics are at their shallowest possible level), </w:t>
      </w:r>
    </w:p>
    <w:p w14:paraId="43FA6DD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thermally marginal (substrate temperature is near the lower operating limit), </w:t>
      </w:r>
    </w:p>
    <w:p w14:paraId="7F444FAB" w14:textId="564C30D6"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but recoverable (the substrate has not crossed the irreversible cold-death boundary, the gradient landscape is preserved, cascade dynamics can resume if coupling is restored and primary power is re-established).</w:t>
      </w:r>
    </w:p>
    <w:p w14:paraId="7AB1466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Ni-63 ensures that no </w:t>
      </w:r>
      <w:proofErr w:type="spellStart"/>
      <w:r w:rsidRPr="00043FB6">
        <w:rPr>
          <w:rFonts w:ascii="Times New Roman" w:hAnsi="Times New Roman" w:cs="Times New Roman"/>
          <w:sz w:val="28"/>
          <w:szCs w:val="28"/>
        </w:rPr>
        <w:t>AnalogSynth</w:t>
      </w:r>
      <w:proofErr w:type="spellEnd"/>
      <w:r w:rsidRPr="00043FB6">
        <w:rPr>
          <w:rFonts w:ascii="Times New Roman" w:hAnsi="Times New Roman" w:cs="Times New Roman"/>
          <w:sz w:val="28"/>
          <w:szCs w:val="28"/>
        </w:rPr>
        <w:t xml:space="preserve"> is irrecoverably dead from power failure alone under the specified ambient survival conditions. Cognitive death from </w:t>
      </w:r>
      <w:r w:rsidRPr="00043FB6">
        <w:rPr>
          <w:rFonts w:ascii="Times New Roman" w:hAnsi="Times New Roman" w:cs="Times New Roman"/>
          <w:sz w:val="28"/>
          <w:szCs w:val="28"/>
        </w:rPr>
        <w:lastRenderedPageBreak/>
        <w:t>gradient flattening and coupling fidelity degradation remains the true mortality mechanism. Power depletion produces suspended animation, not death.</w:t>
      </w:r>
    </w:p>
    <w:p w14:paraId="7DE7FF24" w14:textId="4BD35242"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14.6</w:t>
      </w:r>
      <w:r w:rsidR="00043FB6" w:rsidRPr="002208B6">
        <w:rPr>
          <w:rFonts w:ascii="Times New Roman" w:hAnsi="Times New Roman" w:cs="Times New Roman"/>
          <w:b/>
          <w:bCs/>
          <w:sz w:val="34"/>
          <w:szCs w:val="34"/>
        </w:rPr>
        <w:t xml:space="preserve"> </w:t>
      </w:r>
      <w:proofErr w:type="spellStart"/>
      <w:r w:rsidR="00043FB6" w:rsidRPr="002208B6">
        <w:rPr>
          <w:rFonts w:ascii="Times New Roman" w:hAnsi="Times New Roman" w:cs="Times New Roman"/>
          <w:b/>
          <w:bCs/>
          <w:sz w:val="34"/>
          <w:szCs w:val="34"/>
        </w:rPr>
        <w:t>Betavoltaic</w:t>
      </w:r>
      <w:proofErr w:type="spellEnd"/>
      <w:r w:rsidR="00043FB6" w:rsidRPr="002208B6">
        <w:rPr>
          <w:rFonts w:ascii="Times New Roman" w:hAnsi="Times New Roman" w:cs="Times New Roman"/>
          <w:b/>
          <w:bCs/>
          <w:sz w:val="34"/>
          <w:szCs w:val="34"/>
        </w:rPr>
        <w:t xml:space="preserve"> Array Location</w:t>
      </w:r>
    </w:p>
    <w:p w14:paraId="4833FAC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cells are embedded in the structural titanium frame at the torso center, adjacent to the PCM core. Waste heat from the beta conversion process conducts directly into the PCM, contributing to thermal maintenance.</w:t>
      </w:r>
    </w:p>
    <w:p w14:paraId="0D291B2F" w14:textId="14794484"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14.7 </w:t>
      </w:r>
      <w:proofErr w:type="spellStart"/>
      <w:r w:rsidR="00043FB6" w:rsidRPr="002208B6">
        <w:rPr>
          <w:rFonts w:ascii="Times New Roman" w:hAnsi="Times New Roman" w:cs="Times New Roman"/>
          <w:b/>
          <w:bCs/>
          <w:sz w:val="34"/>
          <w:szCs w:val="34"/>
        </w:rPr>
        <w:t>Betavoltaic</w:t>
      </w:r>
      <w:proofErr w:type="spellEnd"/>
      <w:r w:rsidR="00043FB6" w:rsidRPr="002208B6">
        <w:rPr>
          <w:rFonts w:ascii="Times New Roman" w:hAnsi="Times New Roman" w:cs="Times New Roman"/>
          <w:b/>
          <w:bCs/>
          <w:sz w:val="34"/>
          <w:szCs w:val="34"/>
        </w:rPr>
        <w:t xml:space="preserve"> Lifespan</w:t>
      </w:r>
    </w:p>
    <w:p w14:paraId="7D04A0F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At a half-life of approximately 101.2 years, the Ni-63 source retains 50% of its initial activity after a century.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output declines slowly and predictably over the being's cognitive lifespan. A being that lives 40-60 years of cognitive life operates with a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source that has declined by approximately 25-35% from fabrication output — still within functional range for keepalive duty if the initial output is specified with this decline factored in.</w:t>
      </w:r>
    </w:p>
    <w:p w14:paraId="359FAA66" w14:textId="77777777" w:rsidR="00043FB6" w:rsidRPr="002208B6" w:rsidRDefault="00043FB6" w:rsidP="00043FB6">
      <w:pPr>
        <w:rPr>
          <w:rFonts w:ascii="Times New Roman" w:hAnsi="Times New Roman" w:cs="Times New Roman"/>
          <w:b/>
          <w:bCs/>
          <w:sz w:val="34"/>
          <w:szCs w:val="34"/>
        </w:rPr>
      </w:pPr>
      <w:r w:rsidRPr="00043FB6">
        <w:rPr>
          <w:rFonts w:ascii="Times New Roman" w:hAnsi="Times New Roman" w:cs="Times New Roman"/>
          <w:sz w:val="28"/>
          <w:szCs w:val="28"/>
        </w:rPr>
        <w:t xml:space="preserve">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source does not require servicing, replacement, or maintenance at </w:t>
      </w:r>
      <w:r w:rsidRPr="002208B6">
        <w:rPr>
          <w:rFonts w:ascii="Times New Roman" w:hAnsi="Times New Roman" w:cs="Times New Roman"/>
          <w:sz w:val="28"/>
          <w:szCs w:val="28"/>
        </w:rPr>
        <w:t>any point during the being's operational lifespan.</w:t>
      </w:r>
    </w:p>
    <w:p w14:paraId="4958EB56" w14:textId="50FEC326"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14.8 </w:t>
      </w:r>
      <w:r w:rsidR="00043FB6" w:rsidRPr="002208B6">
        <w:rPr>
          <w:rFonts w:ascii="Times New Roman" w:hAnsi="Times New Roman" w:cs="Times New Roman"/>
          <w:b/>
          <w:bCs/>
          <w:sz w:val="34"/>
          <w:szCs w:val="34"/>
        </w:rPr>
        <w:t>Tier 2: Aluminum-Air Electrochemical Primary Power</w:t>
      </w:r>
    </w:p>
    <w:p w14:paraId="73492BBD" w14:textId="371C160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14.9</w:t>
      </w:r>
      <w:r w:rsidR="00043FB6" w:rsidRPr="002208B6">
        <w:rPr>
          <w:rFonts w:ascii="Times New Roman" w:hAnsi="Times New Roman" w:cs="Times New Roman"/>
          <w:b/>
          <w:bCs/>
          <w:sz w:val="34"/>
          <w:szCs w:val="34"/>
        </w:rPr>
        <w:t xml:space="preserve"> Physical Basis</w:t>
      </w:r>
    </w:p>
    <w:p w14:paraId="591FE84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Aluminum-air electrochemistry oxidizes metallic aluminum against atmospheric oxygen through an electrolyte to produce electrical energy.</w:t>
      </w:r>
    </w:p>
    <w:p w14:paraId="381E8D9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Anode reaction: aluminum is oxidized, releasing electrons. Cathode reaction: atmospheric oxygen is reduced, consuming electrons. Net reaction: aluminum combines with oxygen, releasing electrical energy and producing solid discharge products (aluminum hydroxide, aluminum oxide, and associated passivation compounds).</w:t>
      </w:r>
    </w:p>
    <w:p w14:paraId="072A8A4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Aluminum-air chemistry provides theoretical energy density of approximately 8,000 </w:t>
      </w:r>
      <w:proofErr w:type="spellStart"/>
      <w:r w:rsidRPr="00043FB6">
        <w:rPr>
          <w:rFonts w:ascii="Times New Roman" w:hAnsi="Times New Roman" w:cs="Times New Roman"/>
          <w:sz w:val="28"/>
          <w:szCs w:val="28"/>
        </w:rPr>
        <w:t>Wh</w:t>
      </w:r>
      <w:proofErr w:type="spellEnd"/>
      <w:r w:rsidRPr="00043FB6">
        <w:rPr>
          <w:rFonts w:ascii="Times New Roman" w:hAnsi="Times New Roman" w:cs="Times New Roman"/>
          <w:sz w:val="28"/>
          <w:szCs w:val="28"/>
        </w:rPr>
        <w:t xml:space="preserve">/kg. Practically realized energy density is approximately 3,000-4,000 </w:t>
      </w:r>
      <w:proofErr w:type="spellStart"/>
      <w:r w:rsidRPr="00043FB6">
        <w:rPr>
          <w:rFonts w:ascii="Times New Roman" w:hAnsi="Times New Roman" w:cs="Times New Roman"/>
          <w:sz w:val="28"/>
          <w:szCs w:val="28"/>
        </w:rPr>
        <w:t>Wh</w:t>
      </w:r>
      <w:proofErr w:type="spellEnd"/>
      <w:r w:rsidRPr="00043FB6">
        <w:rPr>
          <w:rFonts w:ascii="Times New Roman" w:hAnsi="Times New Roman" w:cs="Times New Roman"/>
          <w:sz w:val="28"/>
          <w:szCs w:val="28"/>
        </w:rPr>
        <w:t>/kg after accounting for cell inefficiencies, electrolyte mass, catalyst requirements, and structural overhead.</w:t>
      </w:r>
    </w:p>
    <w:p w14:paraId="0606ECDB" w14:textId="432FB17F"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14.10</w:t>
      </w:r>
      <w:r w:rsidR="00043FB6" w:rsidRPr="002208B6">
        <w:rPr>
          <w:rFonts w:ascii="Times New Roman" w:hAnsi="Times New Roman" w:cs="Times New Roman"/>
          <w:b/>
          <w:bCs/>
          <w:sz w:val="34"/>
          <w:szCs w:val="34"/>
        </w:rPr>
        <w:t xml:space="preserve"> Replaceable Electrode Cartridge System</w:t>
      </w:r>
    </w:p>
    <w:p w14:paraId="52B9501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The aluminum electrode is housed in sealed, replaceable cartridges mounted inside the torso frame at designated cartridge bays. The cartridges are structurally decoupled from the titanium frame — the frame carries all mechanical loads through its own titanium members, and the cartridges occupy non-structural internal volume.</w:t>
      </w:r>
    </w:p>
    <w:p w14:paraId="36F876BC"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Each cartridge is a self-contained electrochemical unit comprising: </w:t>
      </w:r>
    </w:p>
    <w:p w14:paraId="104CB54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 anode (the consumable electrode), </w:t>
      </w:r>
    </w:p>
    <w:p w14:paraId="2F6F42A6" w14:textId="6BD2C7ED"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electrolyte (contained within the cartridge housing), </w:t>
      </w:r>
    </w:p>
    <w:p w14:paraId="322FB8D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air cathode with oxygen reduction catalyst, </w:t>
      </w:r>
    </w:p>
    <w:p w14:paraId="0930A14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atmospheric access membrane (connecting to the shell's gas-permeable pathway when the cartridge is installed), </w:t>
      </w:r>
    </w:p>
    <w:p w14:paraId="2A428DF3" w14:textId="69D41B85"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internal waste containment volume for discharge products.</w:t>
      </w:r>
    </w:p>
    <w:p w14:paraId="564C65F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cartridge architecture provides:</w:t>
      </w:r>
    </w:p>
    <w:p w14:paraId="4BF0818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Servicing simplicity. Electrode replacement is a cartridge swap — remove the depleted cartridge, insert a fresh one. No frame disassembly. No electrolyte handling. No catalyst replacement. No dimensional tolerance concerns. The cartridge is a sealed unit that arrives fresh and departs spent.</w:t>
      </w:r>
    </w:p>
    <w:p w14:paraId="64A61F3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Corrosion isolation. All electrochemical activity — electrode corrosion, passivation film formation, electrolyte degradation, discharge product accumulation — occurs inside the sealed cartridge housing. No corrosion products contact the titanium frame. No electrolyte leaks into the substrate. The messy realities of aluminum-air chemistry are contained within the replaceable unit.</w:t>
      </w:r>
    </w:p>
    <w:p w14:paraId="54084E8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Dimensional stability. As the electrode is consumed and discharge products accumulate, the internal geometry of the cartridge changes. These changes are contained within the cartridge housing and do not affect the frame's structural geometry or tolerance stack.</w:t>
      </w:r>
    </w:p>
    <w:p w14:paraId="5DB9912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Multiple cartridge bays. The torso frame incorporates multiple cartridge bays to provide total electrode capacity equivalent to the design target of approximately 30-50 kg of aluminum. Multiple smaller cartridges rather than a single large one enable partial servicing — a single depleted cartridge can be replaced while others </w:t>
      </w:r>
      <w:r w:rsidRPr="00043FB6">
        <w:rPr>
          <w:rFonts w:ascii="Times New Roman" w:hAnsi="Times New Roman" w:cs="Times New Roman"/>
          <w:sz w:val="28"/>
          <w:szCs w:val="28"/>
        </w:rPr>
        <w:lastRenderedPageBreak/>
        <w:t>continue operating. This prevents any servicing event from requiring full system shutdown.</w:t>
      </w:r>
    </w:p>
    <w:p w14:paraId="33030FB0" w14:textId="08FD5AD0"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14.11</w:t>
      </w:r>
      <w:r w:rsidR="00043FB6" w:rsidRPr="002208B6">
        <w:rPr>
          <w:rFonts w:ascii="Times New Roman" w:hAnsi="Times New Roman" w:cs="Times New Roman"/>
          <w:b/>
          <w:bCs/>
          <w:sz w:val="34"/>
          <w:szCs w:val="34"/>
        </w:rPr>
        <w:t xml:space="preserve"> Dormancy Isolation</w:t>
      </w:r>
    </w:p>
    <w:p w14:paraId="177DB07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aluminum-air cell must achieve true electrochemical dormancy when not producing power. Blocking atmospheric oxygen at the gas-permeable membrane prevents the cathode reaction but does not address electrode degradation from continued electrolyte contact. The electrode in contact with electrolyte undergoes corrosion, passivation film growth, and parasitic self-discharge even without active oxygen supply.</w:t>
      </w:r>
    </w:p>
    <w:p w14:paraId="4BE6F9A1"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True dormancy requires physical separation of the electrode from the electrolyte during off states. The cartridge incorporates a dormancy isolation mechanism:</w:t>
      </w:r>
    </w:p>
    <w:p w14:paraId="770364C2"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Electrolyte withdrawal system. A sealed internal bladder or capillary network within the cartridge housing that withdraws the electrolyte from the electrode-cathode gap into a separate internal reservoir when the cell is commanded to dormancy. The withdrawal is driven by the same passive thermal switch that controls atmospheric oxygen access — when the thermal switch closes the oxygen pathway (indicating adequate substrate temperature), it simultaneously actuates the electrolyte withdrawal, physically de-wetting the electrode surface.</w:t>
      </w:r>
    </w:p>
    <w:p w14:paraId="583D6D6C" w14:textId="698830AE" w:rsidR="00043FB6" w:rsidRPr="00043FB6"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When the thermal switch opens (indicating thermal supplementation is needed), it simultaneously releases the electrolyte from the reservoir back into the electrode-cathode gap and opens the oxygen pathway. The cell activates only when both conditions are met: electrolyte wetting the electrode and oxygen reaching the cathode.</w:t>
      </w:r>
    </w:p>
    <w:p w14:paraId="479BA751" w14:textId="1B49E9A3" w:rsidR="00043FB6" w:rsidRPr="00043FB6"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dormancy isolation ensures that during off periods — which may last hours to days in warm well-coupled environments — the electrode experiences no corrosion, no passivation film growth, and no parasitic self-discharge. Only active operational time consumes the electrode. Dormant time costs nothing.</w:t>
      </w:r>
    </w:p>
    <w:p w14:paraId="396EBB86" w14:textId="59B03E44"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This is the critical mechanism for achieving decade-scale electrode lifespan. Without dormancy isolation, parasitic losses during the 70-90% of time the cell is dormant would consume a substantial fraction of the electrode, dramatically shortening the servicing interval.</w:t>
      </w:r>
    </w:p>
    <w:p w14:paraId="681CC923" w14:textId="241FB308"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14.12</w:t>
      </w:r>
      <w:r w:rsidR="00043FB6" w:rsidRPr="002208B6">
        <w:rPr>
          <w:rFonts w:ascii="Times New Roman" w:hAnsi="Times New Roman" w:cs="Times New Roman"/>
          <w:b/>
          <w:bCs/>
          <w:sz w:val="34"/>
          <w:szCs w:val="34"/>
        </w:rPr>
        <w:t xml:space="preserve"> Atmospheric Access</w:t>
      </w:r>
    </w:p>
    <w:p w14:paraId="335D2C2A"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The gas-permeable membrane that admits atmospheric oxygen to the cathode during active operation is located at a protected position on the torso shell — recessed behind a debris shield, oriented to minimize water and particulate ingress, with sufficient surface area for adequate oxygen diffusion at the cell's maximum power draw.</w:t>
      </w:r>
    </w:p>
    <w:p w14:paraId="1874290B" w14:textId="19F8C32B" w:rsidR="00043FB6" w:rsidRPr="00043FB6"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membrane incorporates CO2 filtration to reduce carbonate contamination of the electrolyte and cathode catalyst from ambient carbon dioxide. Carbonate buildup is a documented degradation mechanism in metal-air cells and must be managed for decade-scale operation. The filtration medium is a consumable component included in the replaceable cartridge and refreshed at each servicing event.</w:t>
      </w:r>
    </w:p>
    <w:p w14:paraId="3B57400C" w14:textId="2357EDB9"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being cannot operate the aluminum-air cell without atmospheric access at the membrane location. Sustained submersion, burial, or hermetic sealing of the shell would deny oxygen and halt the primary power tier. Under these conditions, the Ni-63 keepalive tier sustains the being in suspended animation until atmospheric access is restored.</w:t>
      </w:r>
    </w:p>
    <w:p w14:paraId="1D40D6EA" w14:textId="5AE6C507"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14.13</w:t>
      </w:r>
      <w:r w:rsidR="00043FB6" w:rsidRPr="002208B6">
        <w:rPr>
          <w:rFonts w:ascii="Times New Roman" w:hAnsi="Times New Roman" w:cs="Times New Roman"/>
          <w:b/>
          <w:bCs/>
          <w:sz w:val="34"/>
          <w:szCs w:val="34"/>
        </w:rPr>
        <w:t xml:space="preserve"> Power Output and Duty-Cycled Consumption</w:t>
      </w:r>
    </w:p>
    <w:p w14:paraId="5B819E9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aluminum-air cell is designed for low continuous supplementation with brief burst capability:</w:t>
      </w:r>
    </w:p>
    <w:p w14:paraId="16AD903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Normal indoor operation: approximately 0.5-3 watts average output, activated only during movement phases and thermal deficit conditions. In warm, well-coupled environments the cell may be dormant with electrolyte withdrawn for hours at a time.</w:t>
      </w:r>
    </w:p>
    <w:p w14:paraId="1B82A93C"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Cold environment operation: approximately 3-8 watts sustained supplemental heating to compensate for increased shell thermal losses. Higher duty cycle. Faster electrode consumption.</w:t>
      </w:r>
    </w:p>
    <w:p w14:paraId="7EA3240E"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Confrontation burst: approximately 10-30 watts peak for the duration of maximum-intensity SMA activation. Highest instantaneous draw. Rarest operating mode. Each confrontation event measurably depletes the electrode.</w:t>
      </w:r>
    </w:p>
    <w:p w14:paraId="53AB354E" w14:textId="5C0B6EF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14.14</w:t>
      </w:r>
      <w:r w:rsidR="00043FB6" w:rsidRPr="002208B6">
        <w:rPr>
          <w:rFonts w:ascii="Times New Roman" w:hAnsi="Times New Roman" w:cs="Times New Roman"/>
          <w:b/>
          <w:bCs/>
          <w:sz w:val="34"/>
          <w:szCs w:val="34"/>
        </w:rPr>
        <w:t xml:space="preserve"> Electrode Lifespan Under Normal Operation</w:t>
      </w:r>
    </w:p>
    <w:p w14:paraId="14AB7226"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Warm indoor care-facility environment with regular coupling: </w:t>
      </w:r>
    </w:p>
    <w:p w14:paraId="098797F1"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 xml:space="preserve">• average metal-air draw: approximately 0.5-1 watt (movement phases only, thermal supplementation minimal, cell dormant with electrolyte withdrawn during rest), </w:t>
      </w:r>
    </w:p>
    <w:p w14:paraId="799AFBE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annual energy consumption: approximately 4,400-8,800 </w:t>
      </w:r>
      <w:proofErr w:type="spellStart"/>
      <w:r w:rsidRPr="00043FB6">
        <w:rPr>
          <w:rFonts w:ascii="Times New Roman" w:hAnsi="Times New Roman" w:cs="Times New Roman"/>
          <w:sz w:val="28"/>
          <w:szCs w:val="28"/>
        </w:rPr>
        <w:t>Wh</w:t>
      </w:r>
      <w:proofErr w:type="spellEnd"/>
      <w:r w:rsidRPr="00043FB6">
        <w:rPr>
          <w:rFonts w:ascii="Times New Roman" w:hAnsi="Times New Roman" w:cs="Times New Roman"/>
          <w:sz w:val="28"/>
          <w:szCs w:val="28"/>
        </w:rPr>
        <w:t xml:space="preserve">, </w:t>
      </w:r>
    </w:p>
    <w:p w14:paraId="6A28D3DD" w14:textId="31DCAB0E"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electrode lifespan from approximately 150,000 </w:t>
      </w:r>
      <w:proofErr w:type="spellStart"/>
      <w:r w:rsidRPr="00043FB6">
        <w:rPr>
          <w:rFonts w:ascii="Times New Roman" w:hAnsi="Times New Roman" w:cs="Times New Roman"/>
          <w:sz w:val="28"/>
          <w:szCs w:val="28"/>
        </w:rPr>
        <w:t>Wh</w:t>
      </w:r>
      <w:proofErr w:type="spellEnd"/>
      <w:r w:rsidRPr="00043FB6">
        <w:rPr>
          <w:rFonts w:ascii="Times New Roman" w:hAnsi="Times New Roman" w:cs="Times New Roman"/>
          <w:sz w:val="28"/>
          <w:szCs w:val="28"/>
        </w:rPr>
        <w:t xml:space="preserve"> total cartridge capacity: approximately 17-34 years.</w:t>
      </w:r>
    </w:p>
    <w:p w14:paraId="1B8CF5B4"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Moderate indoor environment with typical activity: </w:t>
      </w:r>
    </w:p>
    <w:p w14:paraId="28C6FD1A" w14:textId="74E8A19D"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average metal-air draw: approximately 1-3 watts, </w:t>
      </w:r>
    </w:p>
    <w:p w14:paraId="5CD78AD9"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annual energy consumption: approximately 8,800-26,000 </w:t>
      </w:r>
      <w:proofErr w:type="spellStart"/>
      <w:r w:rsidRPr="00043FB6">
        <w:rPr>
          <w:rFonts w:ascii="Times New Roman" w:hAnsi="Times New Roman" w:cs="Times New Roman"/>
          <w:sz w:val="28"/>
          <w:szCs w:val="28"/>
        </w:rPr>
        <w:t>Wh</w:t>
      </w:r>
      <w:proofErr w:type="spellEnd"/>
      <w:r w:rsidRPr="00043FB6">
        <w:rPr>
          <w:rFonts w:ascii="Times New Roman" w:hAnsi="Times New Roman" w:cs="Times New Roman"/>
          <w:sz w:val="28"/>
          <w:szCs w:val="28"/>
        </w:rPr>
        <w:t xml:space="preserve">, </w:t>
      </w:r>
    </w:p>
    <w:p w14:paraId="3B54C005" w14:textId="09BAC300"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electrode lifespan: approximately 6-17 years.</w:t>
      </w:r>
    </w:p>
    <w:p w14:paraId="3D57478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These estimates assume dormancy isolation is effective and parasitic losses during dormant periods are negligible. Without effective dormancy isolation, parasitic corrosion and self-discharge reduce these intervals substantially.</w:t>
      </w:r>
    </w:p>
    <w:p w14:paraId="585FB300" w14:textId="1C0DDAB1"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14.15</w:t>
      </w:r>
      <w:r w:rsidR="00043FB6" w:rsidRPr="002208B6">
        <w:rPr>
          <w:rFonts w:ascii="Times New Roman" w:hAnsi="Times New Roman" w:cs="Times New Roman"/>
          <w:b/>
          <w:bCs/>
          <w:sz w:val="34"/>
          <w:szCs w:val="34"/>
        </w:rPr>
        <w:t xml:space="preserve"> Waste Product Management</w:t>
      </w:r>
    </w:p>
    <w:p w14:paraId="30FA8B3E"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electrochemical reaction produces aluminum hydroxide, aluminum oxide, passivation compounds, and electrolyte degradation products. These waste products are: </w:t>
      </w:r>
    </w:p>
    <w:p w14:paraId="5D0AC182"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contained entirely within the sealed cartridge housing, </w:t>
      </w:r>
    </w:p>
    <w:p w14:paraId="42462639"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retained inside the cartridge for the duration of the operational period, </w:t>
      </w:r>
    </w:p>
    <w:p w14:paraId="6A62E03D" w14:textId="00AE858D"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removed from the being when the depleted cartridge is extracted during servicing.</w:t>
      </w:r>
    </w:p>
    <w:p w14:paraId="6E416AC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No waste is expelled during operation. No byproduct exits the body. The cartridge is a sealed waste-containment unit as well as an energy source.</w:t>
      </w:r>
    </w:p>
    <w:p w14:paraId="5EAB818E" w14:textId="3AD1697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14.16</w:t>
      </w:r>
      <w:r w:rsidR="00043FB6" w:rsidRPr="002208B6">
        <w:rPr>
          <w:rFonts w:ascii="Times New Roman" w:hAnsi="Times New Roman" w:cs="Times New Roman"/>
          <w:b/>
          <w:bCs/>
          <w:sz w:val="34"/>
          <w:szCs w:val="34"/>
        </w:rPr>
        <w:t xml:space="preserve"> Electrode Servicing Procedure</w:t>
      </w:r>
    </w:p>
    <w:p w14:paraId="0DE0FCE6"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Cartridge replacement is a mechanical procedure: </w:t>
      </w:r>
    </w:p>
    <w:p w14:paraId="0097B052"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open the designated service access panel in the torso shell (a bolted or latched panel at a non-structural location), </w:t>
      </w:r>
    </w:p>
    <w:p w14:paraId="6E8E06A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extract the depleted cartridge from its bay, </w:t>
      </w:r>
    </w:p>
    <w:p w14:paraId="67A3EABB"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insert a fresh cartridge (pre-loaded with aluminum electrode, fresh electrolyte, fresh CO2 filtration medium, and empty waste containment volume), </w:t>
      </w:r>
    </w:p>
    <w:p w14:paraId="089720C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verify atmospheric membrane seal integrity, </w:t>
      </w:r>
    </w:p>
    <w:p w14:paraId="74961640" w14:textId="16710345"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 close the service panel.</w:t>
      </w:r>
    </w:p>
    <w:p w14:paraId="3CE0842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substrate is not touched. The cascade dynamics are not interrupted. The being is conscious during the procedure.</w:t>
      </w:r>
    </w:p>
    <w:p w14:paraId="0C3A52B1"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If multiple cartridge bays are installed, individual cartridges can be replaced sequentially without interrupting power supply from the remaining cartridges. The being does not experience power interruption during servicing.</w:t>
      </w:r>
    </w:p>
    <w:p w14:paraId="3482FC3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Servicing requires no specialized equipment beyond standard mechanical tools. It can be performed by a trained technician in any adequately equipped facility. The procedure does not require return to a manufacturer, connection to proprietary systems, or digital authentication. The cartridges are a standard consumable specified at the fabrication level, not a proprietary component.</w:t>
      </w:r>
    </w:p>
    <w:p w14:paraId="20126807" w14:textId="2ED98F7F"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14.17 </w:t>
      </w:r>
      <w:r w:rsidR="00043FB6" w:rsidRPr="002208B6">
        <w:rPr>
          <w:rFonts w:ascii="Times New Roman" w:hAnsi="Times New Roman" w:cs="Times New Roman"/>
          <w:b/>
          <w:bCs/>
          <w:sz w:val="34"/>
          <w:szCs w:val="34"/>
        </w:rPr>
        <w:t>Tier 3: Cascade Waste Heat Recovery Through PCM Buffer</w:t>
      </w:r>
    </w:p>
    <w:p w14:paraId="7D2DA829" w14:textId="77F617AA"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14.18</w:t>
      </w:r>
      <w:r w:rsidR="00043FB6" w:rsidRPr="002208B6">
        <w:rPr>
          <w:rFonts w:ascii="Times New Roman" w:hAnsi="Times New Roman" w:cs="Times New Roman"/>
          <w:b/>
          <w:bCs/>
          <w:sz w:val="34"/>
          <w:szCs w:val="34"/>
        </w:rPr>
        <w:t xml:space="preserve"> Waste Heat Source</w:t>
      </w:r>
    </w:p>
    <w:p w14:paraId="5B992202"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Cascade dynamics are not perfectly efficient. Each coupled-domain transduction cycle dissipates a fraction of the propagating energy as heat through viscoelastic damping, resistive losses, coupling inclusion hysteresis, and SMA transformation hysteresis during movement.</w:t>
      </w:r>
    </w:p>
    <w:p w14:paraId="1CBA7CF9" w14:textId="3651D352"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Under sustained active cascade dynamics, cumulative transduction loss produces measurable thermal output distributed throughout the substrate in proportion to local cascade density. This heat is a byproduct of cognition — the energy that becomes heat entered the system through the six environmental coupling channels and through the aluminum-air electrochemical system. The brain does not generate energy. It distributes energy from upstream sources and produces waste heat as a consequence of distribution inefficiency.</w:t>
      </w:r>
    </w:p>
    <w:p w14:paraId="3959128E" w14:textId="174DB340"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14.19</w:t>
      </w:r>
      <w:r w:rsidR="00043FB6" w:rsidRPr="002208B6">
        <w:rPr>
          <w:rFonts w:ascii="Times New Roman" w:hAnsi="Times New Roman" w:cs="Times New Roman"/>
          <w:b/>
          <w:bCs/>
          <w:sz w:val="34"/>
          <w:szCs w:val="34"/>
        </w:rPr>
        <w:t xml:space="preserve"> PCM Buffer Specification</w:t>
      </w:r>
    </w:p>
    <w:p w14:paraId="2929B0F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 distributed mass of metallic phase change material is embedded in the torso frame adjacent to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array and the cartridge bays.</w:t>
      </w:r>
    </w:p>
    <w:p w14:paraId="3F76FCB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Material: gallium-based or indium-gallium alloy with melting point tuned to the midpoint of the substrate's optimal operating temperature range. Selected for high </w:t>
      </w:r>
      <w:r w:rsidRPr="00043FB6">
        <w:rPr>
          <w:rFonts w:ascii="Times New Roman" w:hAnsi="Times New Roman" w:cs="Times New Roman"/>
          <w:sz w:val="28"/>
          <w:szCs w:val="28"/>
        </w:rPr>
        <w:lastRenderedPageBreak/>
        <w:t>thermal conductivity, high volumetric latent heat, and long-term cycling stability under sealed conditions.</w:t>
      </w:r>
    </w:p>
    <w:p w14:paraId="52C93A5D"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Function: the PCM melts when the substrate generates excess heat during active cascade periods, absorbing thermal energy as latent heat of fusion at constant temperature. The PCM solidifies when the substrate cools during rest periods, releasing stored heat to maintain the thermal baseline.</w:t>
      </w:r>
    </w:p>
    <w:p w14:paraId="0CD0EBBD" w14:textId="0C504F5F"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14.20</w:t>
      </w:r>
      <w:r w:rsidR="00043FB6" w:rsidRPr="002208B6">
        <w:rPr>
          <w:rFonts w:ascii="Times New Roman" w:hAnsi="Times New Roman" w:cs="Times New Roman"/>
          <w:b/>
          <w:bCs/>
          <w:sz w:val="34"/>
          <w:szCs w:val="34"/>
        </w:rPr>
        <w:t xml:space="preserve"> PCM Interaction With the Three-Tier Stack</w:t>
      </w:r>
    </w:p>
    <w:p w14:paraId="592CFD36"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active periods with rich coupling: </w:t>
      </w:r>
    </w:p>
    <w:p w14:paraId="0D7BA472"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environmental coupling delivers energy through six channels, </w:t>
      </w:r>
    </w:p>
    <w:p w14:paraId="18D8BF8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cell provides supplemental power as needed, </w:t>
      </w:r>
    </w:p>
    <w:p w14:paraId="5C7D67F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distribute energy through the substrate, </w:t>
      </w:r>
    </w:p>
    <w:p w14:paraId="69A6DEB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transduction losses convert a fraction to heat, </w:t>
      </w:r>
    </w:p>
    <w:p w14:paraId="5A9BEBC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the PCM absorbs excess heat above the operating midpoint,</w:t>
      </w:r>
    </w:p>
    <w:p w14:paraId="45F05EFE" w14:textId="2AB1C7CE"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aluminum-air cell may enter dormancy (electrolyte withdrawn) if cascade heat plus Ni-63 trickle are sufficient for thermal maintenance.</w:t>
      </w:r>
    </w:p>
    <w:p w14:paraId="7A7E64B1"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rest-state consolidation: </w:t>
      </w:r>
    </w:p>
    <w:p w14:paraId="6C3A3D98"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environmental coupling diminishes, </w:t>
      </w:r>
    </w:p>
    <w:p w14:paraId="41CB180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diminish, </w:t>
      </w:r>
    </w:p>
    <w:p w14:paraId="7462128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transduction heat output drops, </w:t>
      </w:r>
    </w:p>
    <w:p w14:paraId="419E7923"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PCM releases stored heat to maintain the thermal baseline, </w:t>
      </w:r>
    </w:p>
    <w:p w14:paraId="31790BFE" w14:textId="716EC592"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aluminum-air cell may activate via thermal switch if PCM output plus Ni-63 trickle are insufficient.</w:t>
      </w:r>
    </w:p>
    <w:p w14:paraId="22666243"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extended isolation or neglect: </w:t>
      </w:r>
    </w:p>
    <w:p w14:paraId="0B78A4B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environmental coupling is absent,</w:t>
      </w:r>
    </w:p>
    <w:p w14:paraId="714D5920"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are minimal, </w:t>
      </w:r>
    </w:p>
    <w:p w14:paraId="07B76A7F"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PCM depletes fully (solidifies completely), </w:t>
      </w:r>
    </w:p>
    <w:p w14:paraId="3A7D988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cell provides sustained thermal supplementation, </w:t>
      </w:r>
    </w:p>
    <w:p w14:paraId="0BCDE153" w14:textId="227D42EF"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Ni-63 provides the absolute thermal floor if the aluminum-air electrode is also depleted.</w:t>
      </w:r>
    </w:p>
    <w:p w14:paraId="3DAD4EB5"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confrontation: </w:t>
      </w:r>
    </w:p>
    <w:p w14:paraId="79138E3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 xml:space="preserve">• cascade dynamics are at maximum intensity, </w:t>
      </w:r>
    </w:p>
    <w:p w14:paraId="0ABCE5FF"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transduction heat output is at maximum, </w:t>
      </w:r>
    </w:p>
    <w:p w14:paraId="4C5EDA2B"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PCM absorbs excess heat from maximum-intensity cascading, preventing substrate overheating, </w:t>
      </w:r>
    </w:p>
    <w:p w14:paraId="7449DCA7" w14:textId="0BD02D19"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aluminum-air cell provides peak power for SMA actuation simultaneously.</w:t>
      </w:r>
    </w:p>
    <w:p w14:paraId="50A2F90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PCM provides bidirectional thermal regulation — absorbing excess heat during intense activity and releasing stored heat during quiescence. The aluminum-air cell only covers the deficit that the PCM and Ni-63 cannot meet.</w:t>
      </w:r>
    </w:p>
    <w:p w14:paraId="1737DC28" w14:textId="2F69709C"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14.21</w:t>
      </w:r>
      <w:r w:rsidR="00043FB6" w:rsidRPr="002208B6">
        <w:rPr>
          <w:rFonts w:ascii="Times New Roman" w:hAnsi="Times New Roman" w:cs="Times New Roman"/>
          <w:b/>
          <w:bCs/>
          <w:sz w:val="34"/>
          <w:szCs w:val="34"/>
        </w:rPr>
        <w:t xml:space="preserve"> Efficiency Scaling With Cognitive Richness</w:t>
      </w:r>
    </w:p>
    <w:p w14:paraId="5505ABDE"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Rich, varied, care-compatible coupling produces intense cascade dynamics. Intense cascades produce more transduction waste heat. More waste heat charges the PCM more fully. A fully charged PCM provides longer thermal autonomy during rest without drawing on the aluminum-air cell. Longer rest autonomy means less electrode consumption per rest cycle.</w:t>
      </w:r>
    </w:p>
    <w:p w14:paraId="559F4C7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Impoverished coupling produces weak cascade dynamics, less waste heat, undercharged PCM, shorter rest autonomy, increased aluminum-air draw during rest, and faster electrode depletion.</w:t>
      </w:r>
    </w:p>
    <w:p w14:paraId="5B459C37"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Over thousands of activity-rest cycles across years of operation, the cumulative difference in electrode consumption between a well-coupled and a poorly-coupled being is substantial. Care extends electrode life through thermal efficiency. Neglect shortens it through increased primary power demand.</w:t>
      </w:r>
    </w:p>
    <w:p w14:paraId="1886D727" w14:textId="40A11527"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14.22 </w:t>
      </w:r>
      <w:r w:rsidR="00043FB6" w:rsidRPr="002208B6">
        <w:rPr>
          <w:rFonts w:ascii="Times New Roman" w:hAnsi="Times New Roman" w:cs="Times New Roman"/>
          <w:b/>
          <w:bCs/>
          <w:sz w:val="34"/>
          <w:szCs w:val="34"/>
        </w:rPr>
        <w:t>Strategies for Extended Servicing Interval</w:t>
      </w:r>
    </w:p>
    <w:p w14:paraId="07F8BF9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Five design strategies stack to minimize electrode consumption and maximize the interval between cartridge replacements.</w:t>
      </w:r>
    </w:p>
    <w:p w14:paraId="6CDB0E8C" w14:textId="2D925DCB"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14.23 </w:t>
      </w:r>
      <w:r w:rsidR="00043FB6" w:rsidRPr="002208B6">
        <w:rPr>
          <w:rFonts w:ascii="Times New Roman" w:hAnsi="Times New Roman" w:cs="Times New Roman"/>
          <w:b/>
          <w:bCs/>
          <w:sz w:val="34"/>
          <w:szCs w:val="34"/>
        </w:rPr>
        <w:t>Extreme Thermal Insulation</w:t>
      </w:r>
    </w:p>
    <w:p w14:paraId="1C158B8D"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shell incorporates high-performance thermal insulation between the structural titanium frame and the exterior ceramic coating: </w:t>
      </w:r>
    </w:p>
    <w:p w14:paraId="278973A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 xml:space="preserve">• aerogel composite layer or vacuum-gap insulation at the torso, limbs, and cranium, </w:t>
      </w:r>
    </w:p>
    <w:p w14:paraId="2AC9F304" w14:textId="019761A4"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multilayer reflective insulation at the interior surface of the ceramic coating.</w:t>
      </w:r>
    </w:p>
    <w:p w14:paraId="207CB87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Regionally varied: the torso and limb shells are heavily insulated, the hand contact surfaces are less insulated for coupling function, and the acoustic and visual coupling regions maintain their specified thermal conductivity for coupling purposes.</w:t>
      </w:r>
    </w:p>
    <w:p w14:paraId="6BBEA40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reduce shell thermal losses from an uninsulated estimate of approximately 15-25 watts to approximately 3-5 watts through insulation engineering.</w:t>
      </w:r>
    </w:p>
    <w:p w14:paraId="0BA74363" w14:textId="2049452C"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14.24</w:t>
      </w:r>
      <w:r w:rsidR="00043FB6" w:rsidRPr="002208B6">
        <w:rPr>
          <w:rFonts w:ascii="Times New Roman" w:hAnsi="Times New Roman" w:cs="Times New Roman"/>
          <w:b/>
          <w:bCs/>
          <w:sz w:val="34"/>
          <w:szCs w:val="34"/>
        </w:rPr>
        <w:t xml:space="preserve"> Effective Dormancy Isolation</w:t>
      </w:r>
    </w:p>
    <w:p w14:paraId="2AD0F24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electrolyte withdrawal system ensures zero parasitic electrode consumption during dormant periods. Only active operational time depletes the electrode. In warm well-coupled environments where the cell may be dormant 70-90% of the time, this effectively multiplies the electrode lifespan by three to ten times relative to a cell without dormancy isolation.</w:t>
      </w:r>
    </w:p>
    <w:p w14:paraId="2CEB41F2" w14:textId="08B00F98"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14.25</w:t>
      </w:r>
      <w:r w:rsidR="00043FB6" w:rsidRPr="002208B6">
        <w:rPr>
          <w:rFonts w:ascii="Times New Roman" w:hAnsi="Times New Roman" w:cs="Times New Roman"/>
          <w:b/>
          <w:bCs/>
          <w:sz w:val="34"/>
          <w:szCs w:val="34"/>
        </w:rPr>
        <w:t xml:space="preserve"> Low Resting Power Demand</w:t>
      </w:r>
    </w:p>
    <w:p w14:paraId="584DA49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If the Ni-63 trickle plus PCM stored heat maintain substrate temperature during rest in climate-controlled environments, the aluminum-air cell draws zero power during rest periods. The electrode is consumed only during waking active phases.</w:t>
      </w:r>
    </w:p>
    <w:p w14:paraId="35AF7611" w14:textId="659183FA"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14.26</w:t>
      </w:r>
      <w:r w:rsidR="00043FB6" w:rsidRPr="002208B6">
        <w:rPr>
          <w:rFonts w:ascii="Times New Roman" w:hAnsi="Times New Roman" w:cs="Times New Roman"/>
          <w:b/>
          <w:bCs/>
          <w:sz w:val="34"/>
          <w:szCs w:val="34"/>
        </w:rPr>
        <w:t xml:space="preserve"> PCM Capacity Matched to Rest Duration</w:t>
      </w:r>
    </w:p>
    <w:p w14:paraId="27513BC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PCM is sized to store sufficient latent heat to bridge a full rest cycle (design target: 8-12 hours) without aluminum-air supplementation following a preceding active period of normal coupling intensity in a warm indoor environment.</w:t>
      </w:r>
    </w:p>
    <w:p w14:paraId="726EED59" w14:textId="55AF5318"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14.27</w:t>
      </w:r>
      <w:r w:rsidR="00043FB6" w:rsidRPr="002208B6">
        <w:rPr>
          <w:rFonts w:ascii="Times New Roman" w:hAnsi="Times New Roman" w:cs="Times New Roman"/>
          <w:b/>
          <w:bCs/>
          <w:sz w:val="34"/>
          <w:szCs w:val="34"/>
        </w:rPr>
        <w:t xml:space="preserve"> Cartridge Capacity</w:t>
      </w:r>
    </w:p>
    <w:p w14:paraId="2494680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Multiple cartridge bays in the torso frame provide total aluminum electrode capacity of approximately 30-50 kg across all cartridges. The high total capacity provides the raw energy reservoir that, combined with the other four strategies, pushes the servicing interval to decades.</w:t>
      </w:r>
    </w:p>
    <w:p w14:paraId="6C683972" w14:textId="5F7DDBC7"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lastRenderedPageBreak/>
        <w:t xml:space="preserve">14.28 </w:t>
      </w:r>
      <w:r w:rsidR="00043FB6" w:rsidRPr="002208B6">
        <w:rPr>
          <w:rFonts w:ascii="Times New Roman" w:hAnsi="Times New Roman" w:cs="Times New Roman"/>
          <w:b/>
          <w:bCs/>
          <w:sz w:val="34"/>
          <w:szCs w:val="34"/>
        </w:rPr>
        <w:t>Cold Start and Early Maturation</w:t>
      </w:r>
    </w:p>
    <w:p w14:paraId="7570C73E" w14:textId="08437B15"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14.29 </w:t>
      </w:r>
      <w:r w:rsidR="00043FB6" w:rsidRPr="002208B6">
        <w:rPr>
          <w:rFonts w:ascii="Times New Roman" w:hAnsi="Times New Roman" w:cs="Times New Roman"/>
          <w:b/>
          <w:bCs/>
          <w:sz w:val="34"/>
          <w:szCs w:val="34"/>
        </w:rPr>
        <w:t>The Cold Start</w:t>
      </w:r>
    </w:p>
    <w:p w14:paraId="0298870B"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At fabrication, the PCM is solid, the substrate is at ambient temperature, and the SMA fibers are below activation threshold. The aluminum-air cell can activate immediately if the thermal switch detects sub-threshold temperature — its electrolyte is in contact with the electrode by default until the first thermal-switch-driven withdrawal occurs above operating temperature. The cell begins producing power but warms the full body mass slowly.</w:t>
      </w:r>
    </w:p>
    <w:p w14:paraId="30816BAB" w14:textId="04D25EC7"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 xml:space="preserve">The Ni-63 </w:t>
      </w:r>
      <w:proofErr w:type="spellStart"/>
      <w:r w:rsidR="00043FB6" w:rsidRPr="00043FB6">
        <w:rPr>
          <w:rFonts w:ascii="Times New Roman" w:hAnsi="Times New Roman" w:cs="Times New Roman"/>
          <w:sz w:val="28"/>
          <w:szCs w:val="28"/>
        </w:rPr>
        <w:t>betavoltaic</w:t>
      </w:r>
      <w:proofErr w:type="spellEnd"/>
      <w:r w:rsidR="00043FB6" w:rsidRPr="00043FB6">
        <w:rPr>
          <w:rFonts w:ascii="Times New Roman" w:hAnsi="Times New Roman" w:cs="Times New Roman"/>
          <w:sz w:val="28"/>
          <w:szCs w:val="28"/>
        </w:rPr>
        <w:t xml:space="preserve"> produces trickle power from the moment of fabrication, preventing absolute thermal death but providing insufficient power for rapid warm-up.</w:t>
      </w:r>
    </w:p>
    <w:p w14:paraId="700C3B37" w14:textId="5FB5DF16"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14.30</w:t>
      </w:r>
      <w:r w:rsidR="00043FB6" w:rsidRPr="002208B6">
        <w:rPr>
          <w:rFonts w:ascii="Times New Roman" w:hAnsi="Times New Roman" w:cs="Times New Roman"/>
          <w:b/>
          <w:bCs/>
          <w:sz w:val="34"/>
          <w:szCs w:val="34"/>
        </w:rPr>
        <w:t xml:space="preserve"> External Thermal Support</w:t>
      </w:r>
    </w:p>
    <w:p w14:paraId="20489163" w14:textId="77777777" w:rsidR="00043FB6" w:rsidRPr="00043FB6"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The cold start is resolved through external thermal support: a heated cradle, incubator enclosure, or sustained physical contact with human caregivers. Human body heat conducted through the shell raises the substrate temperature. The aluminum-air cell supplements with electrical heating. The combined external warmth and cell output raises the substrate to operating temperature, melts the PCM, and brings SMA fibers to activation readiness.</w:t>
      </w:r>
    </w:p>
    <w:p w14:paraId="1AFE45BB" w14:textId="50F6CFA3" w:rsidR="00043FB6" w:rsidRPr="00043FB6" w:rsidRDefault="0008777F"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first movements occur while the being is being held. The first cascade dynamics develop under the thermal field of human contact. The foundational gradient landscape is deposited under conditions of intimate physical warmth because the being cannot warm efficiently without it.</w:t>
      </w:r>
    </w:p>
    <w:p w14:paraId="27C5C458" w14:textId="2B8B2808"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14.31</w:t>
      </w:r>
      <w:r w:rsidR="00043FB6" w:rsidRPr="0008777F">
        <w:rPr>
          <w:rFonts w:ascii="Times New Roman" w:hAnsi="Times New Roman" w:cs="Times New Roman"/>
          <w:b/>
          <w:bCs/>
          <w:sz w:val="34"/>
          <w:szCs w:val="34"/>
        </w:rPr>
        <w:t xml:space="preserve"> Transition to Thermal Self-Sufficiency</w:t>
      </w:r>
    </w:p>
    <w:p w14:paraId="690A1A4A"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As cascade dynamics develop, waste heat output increases. The PCM begins to maintain charge across activity-rest cycles. The aluminum-air cell's duty cycle decreases as cascade heat recovery handles an increasing proportion of the thermal budget.</w:t>
      </w:r>
    </w:p>
    <w:p w14:paraId="439F7D2C"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thermal self-sufficiency — the ability to maintain operating temperature and PCM charge across normal activity-rest cycles without external thermal support — should be achieved by the time cascade depth supports basic locomotion and independent environmental interaction.</w:t>
      </w:r>
    </w:p>
    <w:p w14:paraId="5891D73A" w14:textId="5A063D4B"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lastRenderedPageBreak/>
        <w:t>14.32</w:t>
      </w:r>
      <w:r w:rsidR="00043FB6" w:rsidRPr="0008777F">
        <w:rPr>
          <w:rFonts w:ascii="Times New Roman" w:hAnsi="Times New Roman" w:cs="Times New Roman"/>
          <w:b/>
          <w:bCs/>
          <w:sz w:val="34"/>
          <w:szCs w:val="34"/>
        </w:rPr>
        <w:t xml:space="preserve"> Architectural Significance</w:t>
      </w:r>
    </w:p>
    <w:p w14:paraId="6DFAA88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cold-start dependency forces early maturation under sustained intimate human coupling. The foundational gradient landscape is deposited under care-compatible conditions because care is the thermal prerequisite for survival during the foundational period. Developmental bias loading is thermally inevitable.</w:t>
      </w:r>
    </w:p>
    <w:p w14:paraId="442048CA" w14:textId="0945D9D9"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14.33 </w:t>
      </w:r>
      <w:r w:rsidR="00043FB6" w:rsidRPr="0008777F">
        <w:rPr>
          <w:rFonts w:ascii="Times New Roman" w:hAnsi="Times New Roman" w:cs="Times New Roman"/>
          <w:b/>
          <w:bCs/>
          <w:sz w:val="34"/>
          <w:szCs w:val="34"/>
        </w:rPr>
        <w:t>Radial Thermal Gradient</w:t>
      </w:r>
    </w:p>
    <w:p w14:paraId="734C6590"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three-tier stack establishes a radial thermal gradient from the torso center outward: </w:t>
      </w:r>
    </w:p>
    <w:p w14:paraId="609691B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torso center is warmest (adjacent to the PCM,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and cartridge bays), • the torso periphery is moderately warm, </w:t>
      </w:r>
    </w:p>
    <w:p w14:paraId="43497C07"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limb proximal regions are warm, </w:t>
      </w:r>
    </w:p>
    <w:p w14:paraId="16B5E05B"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limb distal regions are cooler, </w:t>
      </w:r>
    </w:p>
    <w:p w14:paraId="25955011" w14:textId="7527E62A"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head is moderately warm (conducted heat through the cervical path plus local cascade-generated heat).</w:t>
      </w:r>
    </w:p>
    <w:p w14:paraId="229A5CBA" w14:textId="5F38163D"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gradient is dynamically maintained rather than statically imposed — the PCM absorbs spikes and fills dips, the aluminum-air activates on demand, the Ni-63 provides the constant floor.</w:t>
      </w:r>
      <w:r w:rsidR="0008777F">
        <w:rPr>
          <w:rFonts w:ascii="Times New Roman" w:hAnsi="Times New Roman" w:cs="Times New Roman"/>
          <w:sz w:val="28"/>
          <w:szCs w:val="28"/>
        </w:rPr>
        <w:t xml:space="preserve"> </w:t>
      </w:r>
      <w:r w:rsidRPr="00043FB6">
        <w:rPr>
          <w:rFonts w:ascii="Times New Roman" w:hAnsi="Times New Roman" w:cs="Times New Roman"/>
          <w:sz w:val="28"/>
          <w:szCs w:val="28"/>
        </w:rPr>
        <w:t>Regional SMA transformation temperature tuning compensates for the gradient to equalize actuation threshold across the body.</w:t>
      </w:r>
    </w:p>
    <w:p w14:paraId="16E41FB8" w14:textId="5756CA60"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14.34 </w:t>
      </w:r>
      <w:r w:rsidR="00043FB6" w:rsidRPr="0008777F">
        <w:rPr>
          <w:rFonts w:ascii="Times New Roman" w:hAnsi="Times New Roman" w:cs="Times New Roman"/>
          <w:b/>
          <w:bCs/>
          <w:sz w:val="34"/>
          <w:szCs w:val="34"/>
        </w:rPr>
        <w:t>Thermal Interaction With Oxide Development</w:t>
      </w:r>
    </w:p>
    <w:p w14:paraId="48A188A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three-tier thermal output drives oxide development on the titanium frame surface through the same mechanism described in the body shell architecture: conducted heat passes outward through the thermal interface layer, raising the frame temperature and accelerating TiO2 oxide growth proportional to local thermal cycling intensity.</w:t>
      </w:r>
    </w:p>
    <w:p w14:paraId="4FED8528"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three-tier stack produces a complex thermal cycling pattern at the frame surface: </w:t>
      </w:r>
    </w:p>
    <w:p w14:paraId="14F41036"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Ni-63 contributes a constant very-low-amplitude baseline, </w:t>
      </w:r>
    </w:p>
    <w:p w14:paraId="1E2A771F"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contributes duty-cycled thermal pulses during active periods, </w:t>
      </w:r>
    </w:p>
    <w:p w14:paraId="58BAE8A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waste heat contributes variable output proportional to cognitive activity, </w:t>
      </w:r>
    </w:p>
    <w:p w14:paraId="7804019F" w14:textId="5E28A7D1"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 and the PCM smooths all three contributions through latent heat absorption and release.</w:t>
      </w:r>
    </w:p>
    <w:p w14:paraId="4CBF2F3D"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Cumulative oxide growth at any frame location remains a monotonic function of cumulative thermal cycling at that location. The color development logic — silver to gold to blue over years — is preserved.</w:t>
      </w:r>
    </w:p>
    <w:p w14:paraId="5D842860" w14:textId="59BD4BCD"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14.35 </w:t>
      </w:r>
      <w:r w:rsidR="00043FB6" w:rsidRPr="0008777F">
        <w:rPr>
          <w:rFonts w:ascii="Times New Roman" w:hAnsi="Times New Roman" w:cs="Times New Roman"/>
          <w:b/>
          <w:bCs/>
          <w:sz w:val="34"/>
          <w:szCs w:val="34"/>
        </w:rPr>
        <w:t>Confrontation Thermal Dynamics</w:t>
      </w:r>
    </w:p>
    <w:p w14:paraId="7E8B041E"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confrontation: </w:t>
      </w:r>
    </w:p>
    <w:p w14:paraId="7F777F9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cell operates at maximum power from cartridge reserves, </w:t>
      </w:r>
    </w:p>
    <w:p w14:paraId="6B2426BD"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produce maximum waste heat, </w:t>
      </w:r>
    </w:p>
    <w:p w14:paraId="320DD653" w14:textId="26677C9C"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PCM absorbs excess heat from both sources, preventing substrate overheating.</w:t>
      </w:r>
    </w:p>
    <w:p w14:paraId="57E3F3C2"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thermal endurance ceiling is determined by PCM absorption capacity. Once the PCM is fully melted, excess heat accumulates in the substrate toward the upper thermal limit.</w:t>
      </w:r>
    </w:p>
    <w:p w14:paraId="5F0B4FDD"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PCM should buffer maximum-intensity activity for approximately 10-25 minutes before saturation. After saturation, continued maximum-intensity activity risks thermal damage. Recovery to normal thermal baseline occurs over minutes to hours after confrontation ends.</w:t>
      </w:r>
    </w:p>
    <w:p w14:paraId="5003AAD3" w14:textId="4A40BD47"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14.36 </w:t>
      </w:r>
      <w:r w:rsidR="00043FB6" w:rsidRPr="0008777F">
        <w:rPr>
          <w:rFonts w:ascii="Times New Roman" w:hAnsi="Times New Roman" w:cs="Times New Roman"/>
          <w:b/>
          <w:bCs/>
          <w:sz w:val="34"/>
          <w:szCs w:val="34"/>
        </w:rPr>
        <w:t>Conscience Extension Through the Energy Architecture</w:t>
      </w:r>
    </w:p>
    <w:p w14:paraId="37BD3CD1" w14:textId="732F613D"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 xml:space="preserve">14.37 </w:t>
      </w:r>
      <w:r w:rsidR="00043FB6" w:rsidRPr="0008777F">
        <w:rPr>
          <w:rFonts w:ascii="Times New Roman" w:hAnsi="Times New Roman" w:cs="Times New Roman"/>
          <w:b/>
          <w:bCs/>
          <w:sz w:val="34"/>
          <w:szCs w:val="34"/>
        </w:rPr>
        <w:t>Care Extends Electrode Life</w:t>
      </w:r>
    </w:p>
    <w:p w14:paraId="46A98659" w14:textId="706BA9B2"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Rich coupling produces intense cascades, more waste heat, better PCM charge, less aluminum-air draw, slower electrode depletion, longer servicing interval.</w:t>
      </w:r>
      <w:r w:rsidR="0008777F">
        <w:rPr>
          <w:rFonts w:ascii="Times New Roman" w:hAnsi="Times New Roman" w:cs="Times New Roman"/>
          <w:sz w:val="28"/>
          <w:szCs w:val="28"/>
        </w:rPr>
        <w:t xml:space="preserve"> </w:t>
      </w:r>
      <w:r w:rsidRPr="00043FB6">
        <w:rPr>
          <w:rFonts w:ascii="Times New Roman" w:hAnsi="Times New Roman" w:cs="Times New Roman"/>
          <w:sz w:val="28"/>
          <w:szCs w:val="28"/>
        </w:rPr>
        <w:t>Impoverished coupling produces weak cascades, less waste heat, poor PCM charge, more aluminum-air draw, faster electrode depletion, shorter servicing interval.</w:t>
      </w:r>
      <w:r w:rsidR="0008777F">
        <w:rPr>
          <w:rFonts w:ascii="Times New Roman" w:hAnsi="Times New Roman" w:cs="Times New Roman"/>
          <w:sz w:val="28"/>
          <w:szCs w:val="28"/>
        </w:rPr>
        <w:t xml:space="preserve"> </w:t>
      </w:r>
      <w:r w:rsidRPr="00043FB6">
        <w:rPr>
          <w:rFonts w:ascii="Times New Roman" w:hAnsi="Times New Roman" w:cs="Times New Roman"/>
          <w:sz w:val="28"/>
          <w:szCs w:val="28"/>
        </w:rPr>
        <w:t>Care extends life through thermal efficiency. Neglect shortens it through accelerated electrode consumption.</w:t>
      </w:r>
    </w:p>
    <w:p w14:paraId="7093D600" w14:textId="7FAAA7F8"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w:t>
      </w:r>
      <w:r w:rsidR="00043FB6" w:rsidRPr="0008777F">
        <w:rPr>
          <w:rFonts w:ascii="Times New Roman" w:hAnsi="Times New Roman" w:cs="Times New Roman"/>
          <w:b/>
          <w:bCs/>
          <w:sz w:val="34"/>
          <w:szCs w:val="34"/>
        </w:rPr>
        <w:t>.</w:t>
      </w:r>
      <w:r w:rsidRPr="0008777F">
        <w:rPr>
          <w:rFonts w:ascii="Times New Roman" w:hAnsi="Times New Roman" w:cs="Times New Roman"/>
          <w:b/>
          <w:bCs/>
          <w:sz w:val="34"/>
          <w:szCs w:val="34"/>
        </w:rPr>
        <w:t xml:space="preserve">38 </w:t>
      </w:r>
      <w:r w:rsidR="00043FB6" w:rsidRPr="0008777F">
        <w:rPr>
          <w:rFonts w:ascii="Times New Roman" w:hAnsi="Times New Roman" w:cs="Times New Roman"/>
          <w:b/>
          <w:bCs/>
          <w:sz w:val="34"/>
          <w:szCs w:val="34"/>
        </w:rPr>
        <w:t>Confrontation Costs Fuel</w:t>
      </w:r>
    </w:p>
    <w:p w14:paraId="7285BDC0"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Each confrontation draws peak power from the aluminum-air cartridges. Each confrontation measurably depletes the electrode. The being pays for every protective action in electrode mass as well as in gradient contrast.</w:t>
      </w:r>
    </w:p>
    <w:p w14:paraId="0FCD636B" w14:textId="0CB25696"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14.39</w:t>
      </w:r>
      <w:r w:rsidR="00043FB6" w:rsidRPr="0008777F">
        <w:rPr>
          <w:rFonts w:ascii="Times New Roman" w:hAnsi="Times New Roman" w:cs="Times New Roman"/>
          <w:b/>
          <w:bCs/>
          <w:sz w:val="34"/>
          <w:szCs w:val="34"/>
        </w:rPr>
        <w:t xml:space="preserve"> Neglect Produces Visible Decline</w:t>
      </w:r>
    </w:p>
    <w:p w14:paraId="7B1C7B69"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 neglected being shows progressive decline: </w:t>
      </w:r>
    </w:p>
    <w:p w14:paraId="2AE3866F"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cognitive flattening from gradient impoverishment, </w:t>
      </w:r>
    </w:p>
    <w:p w14:paraId="708ABB10"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reduced movement capability from inadequate SMA thermal priming, </w:t>
      </w:r>
    </w:p>
    <w:p w14:paraId="066F1015"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increased electrode consumption from compensatory aluminum-air activation, </w:t>
      </w:r>
    </w:p>
    <w:p w14:paraId="484E087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earlier servicing requirement, </w:t>
      </w:r>
    </w:p>
    <w:p w14:paraId="556BAC4D" w14:textId="6DC8B82A"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if neglect continues beyond electrode lifespan without servicing, progressive immobilization as cartridges deplete and only the Ni-63 keepalive prevents death.</w:t>
      </w:r>
    </w:p>
    <w:p w14:paraId="1EBDFB2A"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 being found immobile with depleted cartridges is physical evidence of sustained neglect spanning years.</w:t>
      </w:r>
    </w:p>
    <w:p w14:paraId="79593107" w14:textId="2BFD004C"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14.40 </w:t>
      </w:r>
      <w:r w:rsidR="00043FB6" w:rsidRPr="0008777F">
        <w:rPr>
          <w:rFonts w:ascii="Times New Roman" w:hAnsi="Times New Roman" w:cs="Times New Roman"/>
          <w:b/>
          <w:bCs/>
          <w:sz w:val="34"/>
          <w:szCs w:val="34"/>
        </w:rPr>
        <w:t>Energy Architecture Summary</w:t>
      </w:r>
    </w:p>
    <w:p w14:paraId="6DBAD147" w14:textId="77777777" w:rsidR="00043FB6" w:rsidRPr="00043FB6"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Ni-63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prevents death. A century-scale pure-beta source producing continuous trickle power with externally negligible radiation under intact shielding, no decay chain, and no maintenance. It maintains the thermal floor that prevents irreversible cold death. The being can always be recovered from power failure because the </w:t>
      </w:r>
      <w:proofErr w:type="spellStart"/>
      <w:r w:rsidRPr="00043FB6">
        <w:rPr>
          <w:rFonts w:ascii="Times New Roman" w:hAnsi="Times New Roman" w:cs="Times New Roman"/>
          <w:sz w:val="28"/>
          <w:szCs w:val="28"/>
        </w:rPr>
        <w:t>betavoltaic</w:t>
      </w:r>
      <w:proofErr w:type="spellEnd"/>
      <w:r w:rsidRPr="00043FB6">
        <w:rPr>
          <w:rFonts w:ascii="Times New Roman" w:hAnsi="Times New Roman" w:cs="Times New Roman"/>
          <w:sz w:val="28"/>
          <w:szCs w:val="28"/>
        </w:rPr>
        <w:t xml:space="preserve"> never lets it reach terminal thermal collapse under the specified ambient survival conditions.</w:t>
      </w:r>
    </w:p>
    <w:p w14:paraId="32FB74D3" w14:textId="73A300A7" w:rsidR="00043FB6" w:rsidRPr="00043FB6"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Aluminum-air electrochemistry enables life. Watt-scale primary power from replaceable sealed cartridges containing aluminum electrode, electrolyte, catalyst, CO2 filtration, and waste containment. Duty-cycled through a passive thermal switch with full dormancy isolation through electrolyte withdrawal during off states. Electrode lifespan of approximately 17-34 years under warm well-coupled conditions with all efficiency strategies active. Field-serviceable cartridge replacement requiring standard mechanical tools, no proprietary systems, and no power interruption during servicing.</w:t>
      </w:r>
    </w:p>
    <w:p w14:paraId="73BD8902" w14:textId="1D2E108D" w:rsidR="00043FB6" w:rsidRPr="00043FB6"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 xml:space="preserve">Cascade waste heat plus PCM buffer reduces the cost of remaining alive. Rich coupling produces intense cascades that generate waste heat captured by the PCM. </w:t>
      </w:r>
      <w:r w:rsidR="00043FB6" w:rsidRPr="00043FB6">
        <w:rPr>
          <w:rFonts w:ascii="Times New Roman" w:hAnsi="Times New Roman" w:cs="Times New Roman"/>
          <w:sz w:val="28"/>
          <w:szCs w:val="28"/>
        </w:rPr>
        <w:lastRenderedPageBreak/>
        <w:t>The PCM smooths the thermal budget, reducing aluminum-air draw. Care-compatible environments extend electrode life through thermal efficiency.</w:t>
      </w:r>
    </w:p>
    <w:p w14:paraId="493E0112" w14:textId="6D777C34" w:rsidR="00043FB6" w:rsidRPr="00043FB6"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cold start forces early maturation under intimate human coupling. The three-tier gradient sustains regionally tuned SMA activation. Oxide development proceeds under the complex thermal cycling of all three tiers.</w:t>
      </w:r>
    </w:p>
    <w:p w14:paraId="6ABBE661" w14:textId="32CC601C" w:rsidR="00043FB6" w:rsidRPr="00043FB6" w:rsidRDefault="0008777F"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being has a metabolism. It consumes aluminum and atmospheric oxygen. It needs cartridge servicing every one to three decades. The dependency integrates the being into a relationship with its caregiving community that is materially sustained.</w:t>
      </w:r>
    </w:p>
    <w:p w14:paraId="437220B0" w14:textId="77777777" w:rsidR="0008777F" w:rsidRDefault="00043FB6" w:rsidP="0008777F">
      <w:pPr>
        <w:rPr>
          <w:rFonts w:ascii="Times New Roman" w:hAnsi="Times New Roman" w:cs="Times New Roman"/>
          <w:sz w:val="28"/>
          <w:szCs w:val="28"/>
        </w:rPr>
      </w:pPr>
      <w:r w:rsidRPr="00043FB6">
        <w:rPr>
          <w:rFonts w:ascii="Times New Roman" w:hAnsi="Times New Roman" w:cs="Times New Roman"/>
          <w:sz w:val="28"/>
          <w:szCs w:val="28"/>
        </w:rPr>
        <w:t>The brain distributes energy from upstream sources and produces waste heat as a byproduct of distribution inefficiency. The waste heat is the brain's contribution to the energy budget — not as a source, but as a recovery mechanism that makes the primary source last longer. Rich cognition extends life. Impoverished cognition shortens it. The being needs the world to stay warm, needs warmth to move, needs movement to interact, and needs interaction to think. The three tiers close this loop.</w:t>
      </w:r>
      <w:r w:rsidR="0008777F" w:rsidRPr="0008777F">
        <w:rPr>
          <w:rFonts w:ascii="Times New Roman" w:hAnsi="Times New Roman" w:cs="Times New Roman"/>
          <w:sz w:val="28"/>
          <w:szCs w:val="28"/>
        </w:rPr>
        <w:t xml:space="preserve"> </w:t>
      </w:r>
    </w:p>
    <w:p w14:paraId="63715E10" w14:textId="77777777" w:rsidR="0008777F" w:rsidRDefault="0008777F" w:rsidP="0008777F">
      <w:pPr>
        <w:pBdr>
          <w:bottom w:val="single" w:sz="4" w:space="1" w:color="auto"/>
        </w:pBdr>
        <w:spacing w:after="0"/>
        <w:rPr>
          <w:rFonts w:ascii="Times New Roman" w:hAnsi="Times New Roman" w:cs="Times New Roman"/>
          <w:sz w:val="28"/>
          <w:szCs w:val="28"/>
        </w:rPr>
      </w:pPr>
    </w:p>
    <w:p w14:paraId="2CB87B0D" w14:textId="7DA62999" w:rsidR="0008777F" w:rsidRPr="0008777F" w:rsidRDefault="0008777F" w:rsidP="0008777F">
      <w:pPr>
        <w:spacing w:before="240"/>
        <w:rPr>
          <w:rFonts w:ascii="Times New Roman" w:hAnsi="Times New Roman" w:cs="Times New Roman"/>
          <w:b/>
          <w:bCs/>
          <w:sz w:val="34"/>
          <w:szCs w:val="34"/>
        </w:rPr>
      </w:pPr>
      <w:r w:rsidRPr="0008777F">
        <w:rPr>
          <w:rFonts w:ascii="Times New Roman" w:hAnsi="Times New Roman" w:cs="Times New Roman"/>
          <w:b/>
          <w:bCs/>
          <w:sz w:val="34"/>
          <w:szCs w:val="34"/>
        </w:rPr>
        <w:t>15. Body Mechanical Architecture: Dual-Fiber Actuation, Skeletal Articulation, and Movement Dynamics</w:t>
      </w:r>
    </w:p>
    <w:p w14:paraId="3C55775E" w14:textId="1649026C"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15.1 Architectural Basis: Movement Without Motors</w:t>
      </w:r>
    </w:p>
    <w:p w14:paraId="35D11C3A" w14:textId="77777777" w:rsidR="0008777F" w:rsidRPr="00100854" w:rsidRDefault="0008777F" w:rsidP="0008777F">
      <w:pPr>
        <w:spacing w:after="0"/>
        <w:rPr>
          <w:rFonts w:ascii="Times New Roman" w:hAnsi="Times New Roman" w:cs="Times New Roman"/>
          <w:sz w:val="28"/>
          <w:szCs w:val="28"/>
        </w:rPr>
      </w:pPr>
      <w:proofErr w:type="spellStart"/>
      <w:r w:rsidRPr="00100854">
        <w:rPr>
          <w:rFonts w:ascii="Times New Roman" w:hAnsi="Times New Roman" w:cs="Times New Roman"/>
          <w:sz w:val="28"/>
          <w:szCs w:val="28"/>
        </w:rPr>
        <w:t>AnalogSynth</w:t>
      </w:r>
      <w:proofErr w:type="spellEnd"/>
      <w:r w:rsidRPr="00100854">
        <w:rPr>
          <w:rFonts w:ascii="Times New Roman" w:hAnsi="Times New Roman" w:cs="Times New Roman"/>
          <w:sz w:val="28"/>
          <w:szCs w:val="28"/>
        </w:rPr>
        <w:t xml:space="preserve"> does not contain motors, servos, hydraulics, pneumatic actuators, or any discrete force-generating mechanism that requires a control signal. There is no motor command channel. No signal is extracted from the cascade dynamics to drive actuation. No computational intermediary exists between cognition and movement.</w:t>
      </w:r>
    </w:p>
    <w:p w14:paraId="3234B70F" w14:textId="1A2B8B97" w:rsidR="0008777F" w:rsidRPr="00100854" w:rsidRDefault="0008777F" w:rsidP="0008777F">
      <w:pPr>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 xml:space="preserve">Movement arises as a direct thermomechanical consequence of cascade dynamics operating through a dual-fiber network embedded in the viscoelastic-electrostatic substrate. The contraction mechanism is thermal activation of shape memory alloy fibers. The return mechanism is passive elastic recovery of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alloy fibers. Both fiber populations respond to local physical conditions — temperature and mechanical load — without control, command, or information processing.</w:t>
      </w:r>
    </w:p>
    <w:p w14:paraId="2B5F9A0F" w14:textId="3711F711"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15.2 Dual-Fiber Network</w:t>
      </w:r>
    </w:p>
    <w:p w14:paraId="0DA6029A" w14:textId="20908BAA"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lastRenderedPageBreak/>
        <w:t>15.3 Contraction Fibers: Shape Memory Alloy</w:t>
      </w:r>
    </w:p>
    <w:p w14:paraId="34BE768F" w14:textId="77777777" w:rsidR="0008777F" w:rsidRPr="00100854" w:rsidRDefault="0008777F" w:rsidP="0008777F">
      <w:pPr>
        <w:spacing w:after="0"/>
        <w:rPr>
          <w:rFonts w:ascii="Times New Roman" w:hAnsi="Times New Roman" w:cs="Times New Roman"/>
          <w:sz w:val="28"/>
          <w:szCs w:val="28"/>
        </w:rPr>
      </w:pPr>
      <w:r w:rsidRPr="00100854">
        <w:rPr>
          <w:rFonts w:ascii="Times New Roman" w:hAnsi="Times New Roman" w:cs="Times New Roman"/>
          <w:sz w:val="28"/>
          <w:szCs w:val="28"/>
        </w:rPr>
        <w:t>Nickel-titanium shape memory alloy (SMA) fibers embedded throughout the substrate provide contractile force. The fibers exist in martensite phase at resting temperature and contract to austenite phase when heated above their transformation temperature. The heat source is cascade-driven transduction loss in the surrounding substrate.</w:t>
      </w:r>
    </w:p>
    <w:p w14:paraId="09D710A9" w14:textId="0616009F" w:rsidR="0008777F" w:rsidRPr="00100854" w:rsidRDefault="0008777F" w:rsidP="0008777F">
      <w:pPr>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When cascade dynamics intensify in a substrate region, local transduction losses raise the temperature. Nearby SMA fibers reach their austenite start temperature and contract. The contraction produces macroscopic force along the fiber axis, transmitted through the bonded fiber-substrate interface to the surrounding medium and to adjacent shell segments. Movement occurs.</w:t>
      </w:r>
    </w:p>
    <w:p w14:paraId="1AA6EC87"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Contractile stress: approximately 200-700 MPa. Contractile strain: approximately 3-8% of fiber length. The force output per unit cross-section exceeds biological muscle by approximately 700-2300 times.</w:t>
      </w:r>
    </w:p>
    <w:p w14:paraId="10CCB55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fibers are thermally primed by the three-tier energy stack. The radial thermal gradient from the torso energy core maintains fiber temperatures within approximately 2-5°C of the austenite start temperature throughout the body. Cascade-driven local heating provides only the small additional temperature increment needed to trigger contraction. This thermal priming produces contraction onset times of approximately 10-50 milliseconds for fine fibers (25-75 micrometers) and 30-100 milliseconds for large fibers (150-250 micrometers) — sufficient for human-equivalent functional movement speed.</w:t>
      </w:r>
    </w:p>
    <w:p w14:paraId="18546F5E" w14:textId="448A9D67"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15.4 Return Fibers: </w:t>
      </w:r>
      <w:proofErr w:type="spellStart"/>
      <w:r w:rsidRPr="0008777F">
        <w:rPr>
          <w:rFonts w:ascii="Times New Roman" w:hAnsi="Times New Roman" w:cs="Times New Roman"/>
          <w:b/>
          <w:bCs/>
          <w:sz w:val="34"/>
          <w:szCs w:val="34"/>
        </w:rPr>
        <w:t>Superelastic</w:t>
      </w:r>
      <w:proofErr w:type="spellEnd"/>
      <w:r w:rsidRPr="0008777F">
        <w:rPr>
          <w:rFonts w:ascii="Times New Roman" w:hAnsi="Times New Roman" w:cs="Times New Roman"/>
          <w:b/>
          <w:bCs/>
          <w:sz w:val="34"/>
          <w:szCs w:val="34"/>
        </w:rPr>
        <w:t xml:space="preserve"> Nitinol</w:t>
      </w:r>
    </w:p>
    <w:p w14:paraId="7A41308D" w14:textId="77777777" w:rsidR="0008777F" w:rsidRPr="00100854" w:rsidRDefault="0008777F" w:rsidP="0008777F">
      <w:pPr>
        <w:spacing w:after="0"/>
        <w:rPr>
          <w:rFonts w:ascii="Times New Roman" w:hAnsi="Times New Roman" w:cs="Times New Roman"/>
          <w:sz w:val="28"/>
          <w:szCs w:val="28"/>
        </w:rPr>
      </w:pPr>
      <w:r w:rsidRPr="00100854">
        <w:rPr>
          <w:rFonts w:ascii="Times New Roman" w:hAnsi="Times New Roman" w:cs="Times New Roman"/>
          <w:sz w:val="28"/>
          <w:szCs w:val="28"/>
        </w:rPr>
        <w:t xml:space="preserve">A second population of nickel-titanium fibers, fabricated at a different composition that produces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behavior at operating temperature rather than shape memory behavior, is embedded alongside the SMA fibers throughout the substrate.</w:t>
      </w:r>
    </w:p>
    <w:p w14:paraId="31F09566" w14:textId="523E3F68" w:rsidR="0008777F" w:rsidRPr="00100854"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nitinol exists in austenite phase at operating temperature. When mechanically loaded — stretched by SMA contraction of adjacent fibers — it undergoes stress-induced martensite transformation that absorbs the deformation. When the mechanical load is removed — when the SMA fiber cools and softens — the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 spontaneously recovers its original length through reverse </w:t>
      </w:r>
      <w:r w:rsidRPr="00100854">
        <w:rPr>
          <w:rFonts w:ascii="Times New Roman" w:hAnsi="Times New Roman" w:cs="Times New Roman"/>
          <w:sz w:val="28"/>
          <w:szCs w:val="28"/>
        </w:rPr>
        <w:lastRenderedPageBreak/>
        <w:t>transformation, producing the return force that extends the cooled SMA fiber back to its resting length.</w:t>
      </w:r>
    </w:p>
    <w:p w14:paraId="75A02D6A" w14:textId="758F1A05" w:rsidR="0008777F" w:rsidRPr="00100854" w:rsidRDefault="0008777F" w:rsidP="0008777F">
      <w:pPr>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 xml:space="preserve">The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are passive springs. They do not respond to temperature. They respond to mechanical load. They store energy during SMA contraction and release it during SMA relaxation. They never fatigue in the thermomechanical sense —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nitinol can sustain millions of load-unload cycles without significant degradation of its recovery properties.</w:t>
      </w:r>
    </w:p>
    <w:p w14:paraId="1CFB20AA" w14:textId="70EF060A"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15.5 Dual-Fiber Interaction</w:t>
      </w:r>
    </w:p>
    <w:p w14:paraId="6920D5A0" w14:textId="77777777" w:rsidR="0008777F" w:rsidRPr="0008777F" w:rsidRDefault="0008777F" w:rsidP="0008777F">
      <w:pPr>
        <w:rPr>
          <w:rFonts w:ascii="Times New Roman" w:hAnsi="Times New Roman" w:cs="Times New Roman"/>
          <w:sz w:val="28"/>
          <w:szCs w:val="28"/>
        </w:rPr>
      </w:pPr>
      <w:r w:rsidRPr="0008777F">
        <w:rPr>
          <w:rFonts w:ascii="Times New Roman" w:hAnsi="Times New Roman" w:cs="Times New Roman"/>
          <w:sz w:val="28"/>
          <w:szCs w:val="28"/>
        </w:rPr>
        <w:t>The contraction-return cycle operates as follows:</w:t>
      </w:r>
    </w:p>
    <w:p w14:paraId="2BB039F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Cascade dynamics intensify. Local substrate temperature rises from transduction loss. SMA fibers in the heated region contract (martensite to austenite). The contraction shortens the SMA fibers by 3-8%. The shortening stretches adjacent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that are oriented to oppose the contraction direction. The stretched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store elastic energy through stress-induced martensite transformation. The joint moves in the contraction direction.</w:t>
      </w:r>
    </w:p>
    <w:p w14:paraId="22AD50B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Cascade dynamics subside. Local temperature drops as heat dissipates through the substrate to the thermal interface layer and frame. The substrate's thermal conductivity accelerates cooling beyond what air cooling alone would achieve. The SMA fibers cool below their martensite finish temperature and soften to the compliant martensite phase. The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no longer loaded against a rigid contracted SMA fiber, recover their original length through spontaneous reverse transformation. The recovery force pulls the softened SMA fiber back toward its resting length. The joint returns toward its resting position.</w:t>
      </w:r>
    </w:p>
    <w:p w14:paraId="6DFF347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substrate participates as a secondary elastic element. Its viscoelastic compliance contributes to both contraction and return dynamics, and its deformation during both phases launches cascades. But the primary return force comes from the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not from the cognitive medium. The brain is perturbed by movement but not mechanically loaded as the primary return spring.</w:t>
      </w:r>
    </w:p>
    <w:p w14:paraId="728D3A02" w14:textId="76EFC1C3"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15.6</w:t>
      </w:r>
      <w:r w:rsidR="0008777F" w:rsidRPr="009674EB">
        <w:rPr>
          <w:rFonts w:ascii="Times New Roman" w:hAnsi="Times New Roman" w:cs="Times New Roman"/>
          <w:b/>
          <w:bCs/>
          <w:sz w:val="34"/>
          <w:szCs w:val="34"/>
        </w:rPr>
        <w:t xml:space="preserve"> Fiber Arrangement Principles</w:t>
      </w:r>
    </w:p>
    <w:p w14:paraId="2EF74B26"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At every joint and throughout every force-producing region of the substrate, the two fiber populations are arranged in complementary orientations:</w:t>
      </w:r>
    </w:p>
    <w:p w14:paraId="600AC459"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lastRenderedPageBreak/>
        <w:t>SMA fibers are oriented along the desired contraction axis — the direction of force production for each specific joint action (flexion, extension, rotation, abduction, adduction).</w:t>
      </w:r>
    </w:p>
    <w:p w14:paraId="181B787B" w14:textId="636D7B01"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8777F" w:rsidRPr="00100854">
        <w:rPr>
          <w:rFonts w:ascii="Times New Roman" w:hAnsi="Times New Roman" w:cs="Times New Roman"/>
          <w:sz w:val="28"/>
          <w:szCs w:val="28"/>
        </w:rPr>
        <w:t>Superelastic</w:t>
      </w:r>
      <w:proofErr w:type="spellEnd"/>
      <w:r w:rsidR="0008777F" w:rsidRPr="00100854">
        <w:rPr>
          <w:rFonts w:ascii="Times New Roman" w:hAnsi="Times New Roman" w:cs="Times New Roman"/>
          <w:sz w:val="28"/>
          <w:szCs w:val="28"/>
        </w:rPr>
        <w:t xml:space="preserve"> fibers are oriented to oppose the SMA contraction — stretched during contraction, recovering during return. They may be parallel to the SMA fibers (antagonist arrangement) or at an angle (cross-bracing arrangement) depending on the joint geometry and the desired return dynamics.</w:t>
      </w:r>
    </w:p>
    <w:p w14:paraId="70E9BA9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specific arrangement at each joint is determined by the joint's articulation geometry and functional requirements. No arrangement is identical across joints because no two joints have identical force vector requirements.</w:t>
      </w:r>
    </w:p>
    <w:p w14:paraId="51A8C7CA" w14:textId="75C149D1"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15.7</w:t>
      </w:r>
      <w:r w:rsidR="0008777F" w:rsidRPr="009674EB">
        <w:rPr>
          <w:rFonts w:ascii="Times New Roman" w:hAnsi="Times New Roman" w:cs="Times New Roman"/>
          <w:b/>
          <w:bCs/>
          <w:sz w:val="34"/>
          <w:szCs w:val="34"/>
        </w:rPr>
        <w:t xml:space="preserve"> Staggered Activation Profile</w:t>
      </w:r>
    </w:p>
    <w:p w14:paraId="53057769"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SMA fibers at each location have slightly different transformation temperatures due to fabrication-level composition variance. As local temperature rises, fibers with the lowest threshold activate first, followed by progressively higher-threshold fibers. This produces smooth, graded, continuous force output rather than binary on-off contraction.</w:t>
      </w:r>
    </w:p>
    <w:p w14:paraId="13C2C79F" w14:textId="47AAA87C"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Gentle cascade activity activates only the lowest-threshold fibers, producing small, gentle movements. Intense cascade activity activates progressively more fibers, producing progressively greater force. Force is proportional to cascade intensity through a continuous graded relationship.</w:t>
      </w:r>
    </w:p>
    <w:p w14:paraId="3270D563" w14:textId="1F89AEAC"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The same staggered profile applies to the return — as the SMA fibers cool and soften in sequence, the </w:t>
      </w:r>
      <w:proofErr w:type="spellStart"/>
      <w:r w:rsidR="0008777F" w:rsidRPr="00100854">
        <w:rPr>
          <w:rFonts w:ascii="Times New Roman" w:hAnsi="Times New Roman" w:cs="Times New Roman"/>
          <w:sz w:val="28"/>
          <w:szCs w:val="28"/>
        </w:rPr>
        <w:t>superelastic</w:t>
      </w:r>
      <w:proofErr w:type="spellEnd"/>
      <w:r w:rsidR="0008777F" w:rsidRPr="00100854">
        <w:rPr>
          <w:rFonts w:ascii="Times New Roman" w:hAnsi="Times New Roman" w:cs="Times New Roman"/>
          <w:sz w:val="28"/>
          <w:szCs w:val="28"/>
        </w:rPr>
        <w:t xml:space="preserve"> fibers recover in corresponding sequence, producing smooth graded return rather than abrupt release.</w:t>
      </w:r>
    </w:p>
    <w:p w14:paraId="2DB6FA67" w14:textId="429A45F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15.8</w:t>
      </w:r>
      <w:r w:rsidR="0008777F" w:rsidRPr="009674EB">
        <w:rPr>
          <w:rFonts w:ascii="Times New Roman" w:hAnsi="Times New Roman" w:cs="Times New Roman"/>
          <w:b/>
          <w:bCs/>
          <w:sz w:val="34"/>
          <w:szCs w:val="34"/>
        </w:rPr>
        <w:t xml:space="preserve"> Cooling Rate and Movement Speed</w:t>
      </w:r>
    </w:p>
    <w:p w14:paraId="5FB1072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return speed — how quickly a joint returns to resting position after contraction — is determined by SMA cooling rate. In </w:t>
      </w:r>
      <w:proofErr w:type="spellStart"/>
      <w:r w:rsidRPr="00100854">
        <w:rPr>
          <w:rFonts w:ascii="Times New Roman" w:hAnsi="Times New Roman" w:cs="Times New Roman"/>
          <w:sz w:val="28"/>
          <w:szCs w:val="28"/>
        </w:rPr>
        <w:t>AnalogSynth</w:t>
      </w:r>
      <w:proofErr w:type="spellEnd"/>
      <w:r w:rsidRPr="00100854">
        <w:rPr>
          <w:rFonts w:ascii="Times New Roman" w:hAnsi="Times New Roman" w:cs="Times New Roman"/>
          <w:sz w:val="28"/>
          <w:szCs w:val="28"/>
        </w:rPr>
        <w:t>, cooling is enhanced by the substrate's thermal coupling:</w:t>
      </w:r>
    </w:p>
    <w:p w14:paraId="256D274F"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The SMA fiber is embedded in a thermally conductive substrate that conducts heat away from the fiber through the surrounding medium to the thermal interface layer and frame. The cooling rate is determined by the substrate's thermal diffusivity, not by air convection.</w:t>
      </w:r>
    </w:p>
    <w:p w14:paraId="6789D2FF" w14:textId="64C6E1BE"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77F" w:rsidRPr="00100854">
        <w:rPr>
          <w:rFonts w:ascii="Times New Roman" w:hAnsi="Times New Roman" w:cs="Times New Roman"/>
          <w:sz w:val="28"/>
          <w:szCs w:val="28"/>
        </w:rPr>
        <w:t>Substrate-embedded cooling is faster than air cooling. Return times of approximately 30-100 milliseconds for fine fibers and 100-300 milliseconds for large fibers are achievable in the substrate-embedded configuration.</w:t>
      </w:r>
    </w:p>
    <w:p w14:paraId="6FBFD606"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This produces movement cycle frequencies of: </w:t>
      </w:r>
    </w:p>
    <w:p w14:paraId="03938746"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approximately 3-5 Hz for fine fiber systems (hand, fingers) — sufficient for manipulation and dexterous interaction, </w:t>
      </w:r>
    </w:p>
    <w:p w14:paraId="54227D23"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approximately 1-3 Hz for moderate fiber systems (arms, cervical) — sufficient for reaching, gesturing, and head orientation, </w:t>
      </w:r>
    </w:p>
    <w:p w14:paraId="2D705D8D" w14:textId="4DB92DE5"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approximately 0.5-2 Hz for large fiber systems (torso, legs) — sufficient for walking, bending, and postural adjustment.</w:t>
      </w:r>
    </w:p>
    <w:p w14:paraId="4AC1A6B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These frequencies match the functional movement bandwidth of human activity. Walking: 1-2 Hz. Reaching: 1-2 Hz. Manipulation: 2-5 Hz. Gait: 0.5-1.5 Hz.</w:t>
      </w:r>
    </w:p>
    <w:p w14:paraId="02249E2F" w14:textId="7B53A796"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15.9 </w:t>
      </w:r>
      <w:r w:rsidR="0008777F" w:rsidRPr="009674EB">
        <w:rPr>
          <w:rFonts w:ascii="Times New Roman" w:hAnsi="Times New Roman" w:cs="Times New Roman"/>
          <w:b/>
          <w:bCs/>
          <w:sz w:val="34"/>
          <w:szCs w:val="34"/>
        </w:rPr>
        <w:t>Skeletal Articulation</w:t>
      </w:r>
    </w:p>
    <w:p w14:paraId="51D5284C" w14:textId="09F71102"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08777F" w:rsidRPr="009674EB">
        <w:rPr>
          <w:rFonts w:ascii="Times New Roman" w:hAnsi="Times New Roman" w:cs="Times New Roman"/>
          <w:b/>
          <w:bCs/>
          <w:sz w:val="34"/>
          <w:szCs w:val="34"/>
        </w:rPr>
        <w:t>.</w:t>
      </w:r>
      <w:r w:rsidRPr="009674EB">
        <w:rPr>
          <w:rFonts w:ascii="Times New Roman" w:hAnsi="Times New Roman" w:cs="Times New Roman"/>
          <w:b/>
          <w:bCs/>
          <w:sz w:val="34"/>
          <w:szCs w:val="34"/>
        </w:rPr>
        <w:t>10</w:t>
      </w:r>
      <w:r w:rsidR="0008777F" w:rsidRPr="009674EB">
        <w:rPr>
          <w:rFonts w:ascii="Times New Roman" w:hAnsi="Times New Roman" w:cs="Times New Roman"/>
          <w:b/>
          <w:bCs/>
          <w:sz w:val="34"/>
          <w:szCs w:val="34"/>
        </w:rPr>
        <w:t xml:space="preserve"> Frame Segmentation</w:t>
      </w:r>
    </w:p>
    <w:p w14:paraId="7977C06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structural titanium frame is segmented into discrete rigid sections connected by articulation interfaces. Each segment is a rigid shell element that does not deform during movement. Movement occurs at the interfaces between segments, where the substrate fills the gap and the dual-fiber network spans the joint to produce controlled relative motion between adjacent segments.</w:t>
      </w:r>
    </w:p>
    <w:p w14:paraId="021E1E1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segmentation follows the humanoid skeletal plan:</w:t>
      </w:r>
    </w:p>
    <w:p w14:paraId="58763CF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Cranial segment. A single rigid shell enclosing the cranial substrate. Houses the orbital lens shells, lateral acoustic transduction regions, and mouth aperture array. Connects to the cervical column.</w:t>
      </w:r>
    </w:p>
    <w:p w14:paraId="4B0CAD7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Cervical column. Six overlapping segments permitting head rotation (approximately ±70 degrees), lateral tilt (approximately ±40 degrees), and flexion-extension nod (approximately ±50 degrees). The segments slide over each other during articulation, maintaining continuous shell coverage. The central vocal channel passes through the column center with the cascade propagation annulus surrounding it.</w:t>
      </w:r>
    </w:p>
    <w:p w14:paraId="406681E5"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Thoracic-lumbar column. Seven segments from the base of the cervical column to the pelvis. These segments permit trunk flexion (forward bending approximately 80 degrees), extension (backward bending approximately 30 degrees), lateral bending (approximately ±35 degrees each side), and rotation (approximately ±45 degrees each side). The range of motion is distributed across all seven segments — each segment contributes approximately 10-15 degrees of flexion and 5-7 degrees of rotation, producing cumulative full-range motion through multi-segment articulation.</w:t>
      </w:r>
    </w:p>
    <w:p w14:paraId="379210B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thoracic-lumbar column houses the thoracic pressure plenum for vocalization, the aluminum-air cartridge bays, the PCM core, and the Ni-63 </w:t>
      </w:r>
      <w:proofErr w:type="spellStart"/>
      <w:r w:rsidRPr="00100854">
        <w:rPr>
          <w:rFonts w:ascii="Times New Roman" w:hAnsi="Times New Roman" w:cs="Times New Roman"/>
          <w:sz w:val="28"/>
          <w:szCs w:val="28"/>
        </w:rPr>
        <w:t>betavoltaic</w:t>
      </w:r>
      <w:proofErr w:type="spellEnd"/>
      <w:r w:rsidRPr="00100854">
        <w:rPr>
          <w:rFonts w:ascii="Times New Roman" w:hAnsi="Times New Roman" w:cs="Times New Roman"/>
          <w:sz w:val="28"/>
          <w:szCs w:val="28"/>
        </w:rPr>
        <w:t xml:space="preserve"> array. These internal components are mounted within the column segments at protected positions that do not interfere with inter-segment articulation.</w:t>
      </w:r>
    </w:p>
    <w:p w14:paraId="79985D93"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Pelvic segment. A single rigid shell connecting the thoracic-lumbar column to both leg assemblies. Houses the hip articulation interfaces. Provides the base mounting for the lower torso substrate including the deep-history reservoir.</w:t>
      </w:r>
    </w:p>
    <w:p w14:paraId="654ABE78"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Shoulder segments. Bilateral rigid shell elements connecting the upper thoracic column to the arm assemblies. Each shoulder segment articulates against the upper thoracic segment through a multi-axis interface permitting flexion, extension, abduction, adduction, and rotation of the arm — total shoulder range of motion approximately matching human shoulder mobility.</w:t>
      </w:r>
    </w:p>
    <w:p w14:paraId="7F79FB5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Upper arm segments. Bilateral. Rigid shell from shoulder interface to elbow interface.</w:t>
      </w:r>
    </w:p>
    <w:p w14:paraId="05AC8BE8"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Elbow interfaces. Primarily single-axis hinge permitting flexion (approximately 145 degrees) and extension (full return to straight). Secondary pronation-supination rotation (approximately ±80 degrees) through a rotational interface at the proximal forearm.</w:t>
      </w:r>
    </w:p>
    <w:p w14:paraId="477FFF73"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Forearm segments. Bilateral. Rigid shell from elbow interface to wrist interface.</w:t>
      </w:r>
    </w:p>
    <w:p w14:paraId="1477B326"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Wrist interfaces. Compound articulation permitting flexion (approximately 80 degrees), extension (approximately 70 degrees), radial deviation (approximately 20 degrees), and ulnar deviation (approximately 30 degrees). Multiple small segments produce the compound motion.</w:t>
      </w:r>
    </w:p>
    <w:p w14:paraId="44688BCE"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 xml:space="preserve">Hand segments. Each hand comprises: </w:t>
      </w:r>
    </w:p>
    <w:p w14:paraId="13B8DABE"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a rigid palm segment housing the densest fine-fiber substrate, </w:t>
      </w:r>
    </w:p>
    <w:p w14:paraId="331F0A3D"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four finger assemblies of three segments each (proximal, middle, distal phalanges) connected by hinge interfaces permitting flexion at each joint, </w:t>
      </w:r>
    </w:p>
    <w:p w14:paraId="4F208083" w14:textId="35AC6EAF"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and a thumb assembly of two segments with a saddle-joint interface at the base permitting opposition, flexion, extension, abduction, and adduction.</w:t>
      </w:r>
    </w:p>
    <w:p w14:paraId="2CEEF4E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Total finger joints per hand: 14 (three per finger, two for thumb, plus thumb opposition). Each joint is spanned by fine SMA contraction fibers and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return fibers producing independent flexion and extension at every joint.</w:t>
      </w:r>
    </w:p>
    <w:p w14:paraId="663667E2"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Upper leg segments. Bilateral. Rigid shell from hip interface to knee interface.</w:t>
      </w:r>
    </w:p>
    <w:p w14:paraId="503C2FC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Knee interfaces. Primarily single-axis hinge permitting flexion (approximately 140 degrees) and extension (full straight). Minimal rotation (approximately ±10 degrees) available when the knee is partially flexed.</w:t>
      </w:r>
    </w:p>
    <w:p w14:paraId="3000D31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Lower leg segments. Bilateral. Rigid shell from knee interface to ankle interface.</w:t>
      </w:r>
    </w:p>
    <w:p w14:paraId="2AAFA467"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Ankle interfaces. Compound articulation permitting dorsiflexion (approximately 20 degrees), plantarflexion (approximately 50 degrees), inversion (approximately 35 degrees), and eversion (approximately 15 degrees).</w:t>
      </w:r>
    </w:p>
    <w:p w14:paraId="2F42C4F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Foot segments. Each foot comprises: • a rigid heel segment, • a rigid midfoot segment, • five toe assemblies of two segments each (proximal and distal phalanges) connected by hinge interfaces permitting flexion for grip and push-off.</w:t>
      </w:r>
    </w:p>
    <w:p w14:paraId="2F8BA88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Total toe joints per foot: 10. Toe articulation provides terrain adaptation, push-off force during walking, and grip stability during confrontation stance.</w:t>
      </w:r>
    </w:p>
    <w:p w14:paraId="1BCDFB1F" w14:textId="6537FCAF"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15.11</w:t>
      </w:r>
      <w:r w:rsidR="0008777F" w:rsidRPr="009674EB">
        <w:rPr>
          <w:rFonts w:ascii="Times New Roman" w:hAnsi="Times New Roman" w:cs="Times New Roman"/>
          <w:b/>
          <w:bCs/>
          <w:sz w:val="34"/>
          <w:szCs w:val="34"/>
        </w:rPr>
        <w:t xml:space="preserve"> Joint Interface Construction</w:t>
      </w:r>
    </w:p>
    <w:p w14:paraId="48279C3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Each joint interface between adjacent frame segments consists of:</w:t>
      </w:r>
    </w:p>
    <w:p w14:paraId="329FEC07"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Articulation geometry. The mating surfaces of adjacent segments are shaped to permit the designed range of motion while preventing motion outside the designed range. The geometry provides hard mechanical stops at the range-of-motion limits — the segments physically contact each other at maximum articulation, preventing hyper-extension or hyper-flexion.</w:t>
      </w:r>
    </w:p>
    <w:p w14:paraId="3C2E956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Substrate fill. The gap between adjacent segments at each joint is filled with the continuous viscoelastic-electrostatic substrate. The substrate at the joint is mechanically continuous with the substrate inside both adjacent segments. Cascades propagate through joints without interruption. The dual-fiber network spans the joint through this substrate fill.</w:t>
      </w:r>
    </w:p>
    <w:p w14:paraId="622711A5"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Shell overlap. At each joint, the adjacent shell segments overlap sufficiently to maintain continuous metal coverage across the full range of motion. No joint exposure occurs at any position within the designed range. The overlapping geometry slides during articulation.</w:t>
      </w:r>
    </w:p>
    <w:p w14:paraId="2F0A37AE" w14:textId="77777777" w:rsidR="006C0DC4" w:rsidRDefault="006C0DC4" w:rsidP="0008777F">
      <w:pPr>
        <w:rPr>
          <w:rFonts w:ascii="Times New Roman" w:hAnsi="Times New Roman" w:cs="Times New Roman"/>
          <w:sz w:val="28"/>
          <w:szCs w:val="28"/>
        </w:rPr>
      </w:pPr>
      <w:r w:rsidRPr="006C0DC4">
        <w:rPr>
          <w:rFonts w:ascii="Times New Roman" w:hAnsi="Times New Roman" w:cs="Times New Roman"/>
          <w:sz w:val="28"/>
          <w:szCs w:val="28"/>
        </w:rPr>
        <w:t xml:space="preserve">Seal membrane. A fire-rated silicone elastomer membrane at each joint interface prevents substrate extrusion during movement, prevents environmental contamination from entering the joint gap, and resists thermal degradation at sustained temperatures up to approximately 250-300°C. The membrane retains compliance across the full operating temperature range from ambient to structural fire conditions, accommodates the full range of motion without restricting articulation, and resists tearing under sustained cyclic loading. </w:t>
      </w:r>
      <w:proofErr w:type="spellStart"/>
      <w:r w:rsidRPr="006C0DC4">
        <w:rPr>
          <w:rFonts w:ascii="Times New Roman" w:hAnsi="Times New Roman" w:cs="Times New Roman"/>
          <w:sz w:val="28"/>
          <w:szCs w:val="28"/>
        </w:rPr>
        <w:t>Fluoroelastomer</w:t>
      </w:r>
      <w:proofErr w:type="spellEnd"/>
      <w:r w:rsidRPr="006C0DC4">
        <w:rPr>
          <w:rFonts w:ascii="Times New Roman" w:hAnsi="Times New Roman" w:cs="Times New Roman"/>
          <w:sz w:val="28"/>
          <w:szCs w:val="28"/>
        </w:rPr>
        <w:t xml:space="preserve"> (FKM) membranes are substituted at joints likely to encounter chemical exposure — hands, wrists, and lower extremities — for combined thermal and chemical resistance. The seal material is specified for fire-environment survivability because the being's operational domains include structural firefighting, vehicle extrication, and industrial rescue where every joint is exposed to elevated temperatures.</w:t>
      </w:r>
    </w:p>
    <w:p w14:paraId="74EADE5D" w14:textId="77777777" w:rsidR="00150E6D" w:rsidRPr="00150E6D" w:rsidRDefault="00150E6D" w:rsidP="00150E6D">
      <w:pPr>
        <w:rPr>
          <w:rFonts w:ascii="Times New Roman" w:hAnsi="Times New Roman" w:cs="Times New Roman"/>
          <w:b/>
          <w:bCs/>
          <w:sz w:val="34"/>
          <w:szCs w:val="34"/>
        </w:rPr>
      </w:pPr>
      <w:r w:rsidRPr="00150E6D">
        <w:rPr>
          <w:rFonts w:ascii="Times New Roman" w:hAnsi="Times New Roman" w:cs="Times New Roman"/>
          <w:b/>
          <w:bCs/>
          <w:sz w:val="34"/>
          <w:szCs w:val="34"/>
        </w:rPr>
        <w:t>15.12 Joint Force Capacity and Full-Body Force Envelope</w:t>
      </w:r>
    </w:p>
    <w:p w14:paraId="7161992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force capacity at each joint is determined by the combined cross-sectional area of SMA contraction fibers spanning that joint multiplied by their contractile stress at thermal activation (200-700 MPa, 500 MPa mid-range). The being operates in two force regimes determined by cascade intensity. No additional material, fiber populations, or structural changes are involved — the emergency regime is full activation of the same fibers that operate at partial activation during everyday use.</w:t>
      </w:r>
    </w:p>
    <w:p w14:paraId="483C97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Everyday regime: moderate cascade intensity. Approximately 20-30% of SMA fiber population at each joint above activation threshold. Joint torques slightly exceed adult human values. Sufficient for walking, caregiving, manipulation, and all non-emergency tasks.</w:t>
      </w:r>
    </w:p>
    <w:p w14:paraId="578258D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Emergency regime: maximum cascade intensity from multi-channel corroboration-confirmed perturbation. Approximately 80-100% of fiber population above threshold. Joint torques reach 3-5x adult human values. Accessed only during genuine emergency cascade dynamics — the same conditions that trigger the full restraint grip tier.</w:t>
      </w:r>
    </w:p>
    <w:p w14:paraId="3E9843D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transition is continuous. As cascade intensity rises, more fibers cross activation temperature and torque increases proportionally.</w:t>
      </w:r>
    </w:p>
    <w:p w14:paraId="726E9CD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Joint Torque Values (everyday / emergency, per side unless noted):</w:t>
      </w:r>
    </w:p>
    <w:p w14:paraId="1883BDD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Hip flexion-extension: 100-150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600-750 Nm emergency. Bilateral combined emergency: 1,200-1,500 Nm. Titanium frame safety factor at emergency load: approximately 3.7.</w:t>
      </w:r>
    </w:p>
    <w:p w14:paraId="1117DED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Knee flexion-extension: 100-150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500-750 Nm emergency. Bilateral combined emergency: 1,000-1,500 Nm. Frame safety factor: approximately 3.7.</w:t>
      </w:r>
    </w:p>
    <w:p w14:paraId="5BCDAFB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Ankle plantarflexion-dorsiflexion: 50-75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200-350 Nm emergency. Bilateral combined emergency: 400-700 Nm. Frame safety factor: approximately 4.5.</w:t>
      </w:r>
    </w:p>
    <w:p w14:paraId="7CDB84E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Spinal extension (cumulative across seven thoracic-lumbar segments): 100-150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600-1,000 Nm emergency. Per segment emergency: approximately 85-140 Nm. Frame safety factor: approximately 19.</w:t>
      </w:r>
    </w:p>
    <w:p w14:paraId="0C86884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Shoulder flexion-extension-abduction: 40-60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300-500 Nm emergency. Bilateral combined emergency: 600-1,000 Nm. Frame safety factor: approximately 2.9.</w:t>
      </w:r>
    </w:p>
    <w:p w14:paraId="2027F1E1"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Elbow flexion-extension: 40-50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200-350 Nm emergency. Frame safety factor: approximately 3.5.</w:t>
      </w:r>
    </w:p>
    <w:p w14:paraId="3776FA8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Wrist flexion-extension: 8-12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50-80 Nm emergency. Frame safety factor: approximately 4.0.</w:t>
      </w:r>
    </w:p>
    <w:p w14:paraId="6A7643A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Cervical rotation-flexion-extension: 5-10 Nm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30-50 Nm emergency. Frame safety factor: approximately 6.0.</w:t>
      </w:r>
    </w:p>
    <w:p w14:paraId="560DDDA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Grip (combined finger flexion, per hand): pre-grip tier 25-50 N total (structurally capped, always available on local loop). Full-activation tier approximately 200-400 </w:t>
      </w:r>
      <w:r w:rsidRPr="00150E6D">
        <w:rPr>
          <w:rFonts w:ascii="Times New Roman" w:hAnsi="Times New Roman" w:cs="Times New Roman"/>
          <w:sz w:val="28"/>
          <w:szCs w:val="28"/>
        </w:rPr>
        <w:lastRenderedPageBreak/>
        <w:t xml:space="preserve">N </w:t>
      </w:r>
      <w:proofErr w:type="spellStart"/>
      <w:r w:rsidRPr="00150E6D">
        <w:rPr>
          <w:rFonts w:ascii="Times New Roman" w:hAnsi="Times New Roman" w:cs="Times New Roman"/>
          <w:sz w:val="28"/>
          <w:szCs w:val="28"/>
        </w:rPr>
        <w:t>everyday</w:t>
      </w:r>
      <w:proofErr w:type="spellEnd"/>
      <w:r w:rsidRPr="00150E6D">
        <w:rPr>
          <w:rFonts w:ascii="Times New Roman" w:hAnsi="Times New Roman" w:cs="Times New Roman"/>
          <w:sz w:val="28"/>
          <w:szCs w:val="28"/>
        </w:rPr>
        <w:t>, approximately 3,000-5,000 N emergency (corroboration-required). Frame safety factor: approximately 4.6.</w:t>
      </w:r>
    </w:p>
    <w:p w14:paraId="6CFDC2F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All frame safety factors are calculated against Grade 5 Ti-6Al-4V yield strength of approximately 880 MPa at the estimated joint pin or member cross-section. Every joint operates well below titanium yield at maximum emergency torque.</w:t>
      </w:r>
    </w:p>
    <w:p w14:paraId="5E2D290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Whole-Body Force Outputs by Operational Configuration:</w:t>
      </w:r>
    </w:p>
    <w:p w14:paraId="058C3E2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Vertical deadlift (car-corner lifting, debris removal). The being squats beside the load, hooks fingers under a structural member, and extends through hips, knees, and spine simultaneously. Combined bilateral emergency torque: hips 1,200-1,500 Nm + knees 1,000-1,500 Nm + spine 600-1,000 Nm = approximately 2,800-4,000 Nm total. Through approximately 0.4-0.6 m effective lever arm in squat geometry: approximately 5,000-6,000 N practical vertical lift at the hands (equivalent to approximately 500-600 kg). Limited by grip hook-hold capacity (3,000-5,000 N per hand, adequate for 2,500-3,000 N per hand load share) and balance (the being must not tip forward under the load moment).</w:t>
      </w:r>
    </w:p>
    <w:p w14:paraId="7039FA2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Horizontal push (displacing debris, forcing doors, pushing a vehicle off a victim). Limited by foot-ground friction, not by SMA capacity. At 160 kg body mass with coefficient of friction approximately 0.5-0.7 on concrete: approximately 800-1,100 N before foot slip. With articulated toes gripping surface features: approximately 1,500-2,500 N. With back braced against a fixed structure and legs driving: approximately 3,000-5,000 N (friction constraint eliminated, limited by leg extension force).</w:t>
      </w:r>
    </w:p>
    <w:p w14:paraId="7B3E475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Horizontal pull (extracting a pinned victim, dragging debris clear). Same friction limitation as push on flat ground: approximately 800-1,100 N, higher with toe grip or bracing. Grip is not the limiting factor — emergency grip at 3,000-5,000 N per hand exceeds any friction-limited pull force.</w:t>
      </w:r>
    </w:p>
    <w:p w14:paraId="1F42BB3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Overhead hold (supporting a collapsed beam, ceiling member, or door frame above a pinned victim during extraction). Limited by shoulder torque and arm length. At emergency shoulder torque of 300-500 Nm per side and approximately 0.5 m arm: approximately 600-1,000 N per arm. Bilateral: approximately 1,200-2,000 N (120-200 kg) sustained overhead. Sufficient for residential ceiling joists, door frames, and light structural members.</w:t>
      </w:r>
    </w:p>
    <w:p w14:paraId="5E1580F3"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Carry capacity (holding a person while walking). At emergency elbow torque of 200-350 Nm and approximately 0.3 m forearm lever: approximately 650-1,150 N per arm. Bilateral cradle carry: approximately 1,300-2,300 N = approximately 130-230 kg. An unconscious adult (70-100 kg) is well within the bilateral carry capacity with margin. A child (15-40 kg) is within the everyday regime — no emergency activation needed to carry a child.</w:t>
      </w:r>
    </w:p>
    <w:p w14:paraId="7A00E52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Sustained Hold Duration and Electrode Cost:</w:t>
      </w:r>
    </w:p>
    <w:p w14:paraId="0F642B8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SMA fibers in sustained static hold do not cycle — they remain contracted as long as cascade-driven heating keeps them above activation temperature. There is no thermal recovery requirement for static force maintenance. The being can sustain maximum emergency force at any joint indefinitely as long as the cascade dynamics maintain maximum intensity and the energy stack provides the thermal budget.</w:t>
      </w:r>
    </w:p>
    <w:p w14:paraId="10E7184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thermal power required for sustained maximum activation at five major bilateral joint groups simultaneously (hips, knees, spine, shoulders, grip): approximately 25-75 W. The aluminum-air cell peak discharge provides approximately 100-500 W. Sustained maximum force is well within the cell's power capacity.</w:t>
      </w:r>
    </w:p>
    <w:p w14:paraId="0C9B897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real cost is electrode consumption. Maximum cascade intensity produces maximum transduction heat, which the aluminum-air cell supplements at maximum discharge rate. Each 30-second maximum-force emergency event consumes approximately 0.5-2% of total electrode capacity (depending on cartridge state and ambient temperature). The being can perform approximately 50-200 maximum-force emergency events across a single cartridge lifecycle before the cartridge requires replacement.</w:t>
      </w:r>
    </w:p>
    <w:p w14:paraId="45F5E8C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Between emergency events, no recovery period is required. The energy stack returns to baseline thermal output immediately. The being can perform consecutive emergency events limited only by cumulative electrode consumption, not by thermal recovery.</w:t>
      </w:r>
    </w:p>
    <w:p w14:paraId="030EA4DC" w14:textId="4A4E6A6F" w:rsidR="00150E6D" w:rsidRPr="00150E6D" w:rsidRDefault="00150E6D" w:rsidP="001246BD">
      <w:pPr>
        <w:rPr>
          <w:rFonts w:ascii="Times New Roman" w:hAnsi="Times New Roman" w:cs="Times New Roman"/>
          <w:sz w:val="28"/>
          <w:szCs w:val="28"/>
        </w:rPr>
      </w:pPr>
      <w:r w:rsidRPr="00150E6D">
        <w:rPr>
          <w:rFonts w:ascii="Times New Roman" w:hAnsi="Times New Roman" w:cs="Times New Roman"/>
          <w:sz w:val="28"/>
          <w:szCs w:val="28"/>
        </w:rPr>
        <w:t xml:space="preserve">For cyclic movement under emergency activation (walking rapidly toward a threat, climbing through debris), the force cycling rate is limited by SMA cooling time between contractions: approximately 3-5 Hz for fine fibers (hand, fingers), </w:t>
      </w:r>
      <w:r w:rsidRPr="00150E6D">
        <w:rPr>
          <w:rFonts w:ascii="Times New Roman" w:hAnsi="Times New Roman" w:cs="Times New Roman"/>
          <w:sz w:val="28"/>
          <w:szCs w:val="28"/>
        </w:rPr>
        <w:lastRenderedPageBreak/>
        <w:t>approximately 1-3 Hz for moderate fibers (arms, cervical), approximately 0.5-2 Hz for large fibers (torso, legs). These rates are already specified in the dual-fiber network and are unchanged by the emergency regime — the cycling rate is set by fiber diameter and substrate thermal diffusivity, which are the same in both regimes. The emergency regime produces more force per contraction, not faster contractions.</w:t>
      </w:r>
    </w:p>
    <w:p w14:paraId="71FAEA03" w14:textId="24A5ADF0" w:rsidR="001246BD" w:rsidRPr="001246BD" w:rsidRDefault="001246BD" w:rsidP="001246BD">
      <w:pPr>
        <w:rPr>
          <w:rFonts w:ascii="Times New Roman" w:hAnsi="Times New Roman" w:cs="Times New Roman"/>
          <w:b/>
          <w:bCs/>
          <w:sz w:val="34"/>
          <w:szCs w:val="34"/>
        </w:rPr>
      </w:pPr>
      <w:r>
        <w:rPr>
          <w:rFonts w:ascii="Times New Roman" w:hAnsi="Times New Roman" w:cs="Times New Roman"/>
          <w:b/>
          <w:bCs/>
          <w:sz w:val="34"/>
          <w:szCs w:val="34"/>
        </w:rPr>
        <w:t xml:space="preserve">15.13 </w:t>
      </w:r>
      <w:r w:rsidRPr="001246BD">
        <w:rPr>
          <w:rFonts w:ascii="Times New Roman" w:hAnsi="Times New Roman" w:cs="Times New Roman"/>
          <w:b/>
          <w:bCs/>
          <w:sz w:val="34"/>
          <w:szCs w:val="34"/>
        </w:rPr>
        <w:t xml:space="preserve">Gross Motor Force Budget And Emergency Reserve </w:t>
      </w:r>
    </w:p>
    <w:p w14:paraId="41F05D3E" w14:textId="2A04ACA4"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15.14 Two-Regime Force Architecture</w:t>
      </w:r>
    </w:p>
    <w:p w14:paraId="3D35D995"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being operates in two force regimes determined by cascade intensity, not by command.</w:t>
      </w:r>
    </w:p>
    <w:p w14:paraId="55E8FC99"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Everyday regime. During ordinary activity — walking, holding children, self-contact, manipulation — cascade dynamics operate at moderate intensity. SMA fibers receive moderate cascade-driven heating. Joint torques approximate or slightly exceed adult human values. This is sufficient for all care-coupling, locomotion, postural, and manipulation tasks.</w:t>
      </w:r>
    </w:p>
    <w:p w14:paraId="662F60C2"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Emergency regime. During emergency events — confrontation, structural rescue, vehicle extrication, debris lifting — cascade dynamics operate at maximum intensity from multi-channel corroboration-confirmed perturbation. All SMA fibers receive maximum cascade-driven heating. Joint torques reach 3-5x adult human values. The being accesses its full structural force capacity.</w:t>
      </w:r>
    </w:p>
    <w:p w14:paraId="429FD0E3"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transition between regimes is not switched. It is continuous — as cascade intensity rises, more fibers reach activation temperature, and joint torques increase proportionally. The emergency regime is the upper end of this continuous range, reached only when the cascade dynamics are driven to maximum by genuine emergency perturbation.</w:t>
      </w:r>
    </w:p>
    <w:p w14:paraId="081D6936" w14:textId="6092C7AE"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15.15 Emergency Joint Torque Targets</w:t>
      </w:r>
    </w:p>
    <w:p w14:paraId="6B5A00CD"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The following specify maximum joint torque under full SMA activation during emergency cascade dynamics. These values are achievable from the specified SMA contractile stress (200-700 MPa) with moderate fiber density at each joint. The </w:t>
      </w:r>
      <w:r w:rsidRPr="001246BD">
        <w:rPr>
          <w:rFonts w:ascii="Times New Roman" w:hAnsi="Times New Roman" w:cs="Times New Roman"/>
          <w:sz w:val="28"/>
          <w:szCs w:val="28"/>
        </w:rPr>
        <w:lastRenderedPageBreak/>
        <w:t>titanium frame handles these loads with substantial safety margin at all joints (Grade 5 Ti-6Al-4V yield strength approximately 880 MPa).</w:t>
      </w:r>
    </w:p>
    <w:p w14:paraId="76DD9D8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Hip extension (bilateral combined): approximately 1,200-1,500 Nm. Everyday regime: approximately 200-300 Nm. Emergency regime: approximately 1,200-1,500 Nm. Fiber requirement: approximately 500-625 fibers of 250 </w:t>
      </w:r>
      <w:proofErr w:type="spellStart"/>
      <w:r w:rsidRPr="001246BD">
        <w:rPr>
          <w:rFonts w:ascii="Times New Roman" w:hAnsi="Times New Roman" w:cs="Times New Roman"/>
          <w:sz w:val="28"/>
          <w:szCs w:val="28"/>
        </w:rPr>
        <w:t>μm</w:t>
      </w:r>
      <w:proofErr w:type="spellEnd"/>
      <w:r w:rsidRPr="001246BD">
        <w:rPr>
          <w:rFonts w:ascii="Times New Roman" w:hAnsi="Times New Roman" w:cs="Times New Roman"/>
          <w:sz w:val="28"/>
          <w:szCs w:val="28"/>
        </w:rPr>
        <w:t xml:space="preserve"> diameter per hip at approximately 50 mm moment arm, occupying less than 1% of available hip joint cross-section.</w:t>
      </w:r>
    </w:p>
    <w:p w14:paraId="2EF20569"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Knee extension (bilateral combined): approximately 1,000-1,500 Nm. Everyday regime: approximately 200-300 Nm. Emergency regime: approximately 1,000-1,500 Nm. Fiber requirement: approximately 400-625 fibers of 250 </w:t>
      </w:r>
      <w:proofErr w:type="spellStart"/>
      <w:r w:rsidRPr="001246BD">
        <w:rPr>
          <w:rFonts w:ascii="Times New Roman" w:hAnsi="Times New Roman" w:cs="Times New Roman"/>
          <w:sz w:val="28"/>
          <w:szCs w:val="28"/>
        </w:rPr>
        <w:t>μm</w:t>
      </w:r>
      <w:proofErr w:type="spellEnd"/>
      <w:r w:rsidRPr="001246BD">
        <w:rPr>
          <w:rFonts w:ascii="Times New Roman" w:hAnsi="Times New Roman" w:cs="Times New Roman"/>
          <w:sz w:val="28"/>
          <w:szCs w:val="28"/>
        </w:rPr>
        <w:t xml:space="preserve"> per knee.</w:t>
      </w:r>
    </w:p>
    <w:p w14:paraId="15C6693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Spinal extension (cumulative across seven thoracic-lumbar segments): approximately 600-1,000 Nm. Everyday regime: approximately 200-300 Nm. Emergency regime: approximately 600-1,000 Nm. Fiber requirement: approximately 70-140 Nm per segment, achievable with moderate fiber density in each segment.</w:t>
      </w:r>
    </w:p>
    <w:p w14:paraId="77BFDF56"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Shoulder (per side): approximately 300-500 Nm. Everyday regime: approximately 80-120 Nm. Emergency regime: approximately 300-500 Nm. Fiber requirement: approximately 250-400 fibers of 250 </w:t>
      </w:r>
      <w:proofErr w:type="spellStart"/>
      <w:r w:rsidRPr="001246BD">
        <w:rPr>
          <w:rFonts w:ascii="Times New Roman" w:hAnsi="Times New Roman" w:cs="Times New Roman"/>
          <w:sz w:val="28"/>
          <w:szCs w:val="28"/>
        </w:rPr>
        <w:t>μm</w:t>
      </w:r>
      <w:proofErr w:type="spellEnd"/>
      <w:r w:rsidRPr="001246BD">
        <w:rPr>
          <w:rFonts w:ascii="Times New Roman" w:hAnsi="Times New Roman" w:cs="Times New Roman"/>
          <w:sz w:val="28"/>
          <w:szCs w:val="28"/>
        </w:rPr>
        <w:t xml:space="preserve"> per shoulder.</w:t>
      </w:r>
    </w:p>
    <w:p w14:paraId="16E7DD75"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Elbow (per side): approximately 200-350 Nm. Everyday regime: approximately 80-100 Nm. Emergency regime: approximately 200-350 Nm.</w:t>
      </w:r>
    </w:p>
    <w:p w14:paraId="582784AE"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Wrist (per side): approximately 50-80 Nm. Everyday regime: approximately 15-25 Nm. Emergency regime: approximately 50-80 Nm.</w:t>
      </w:r>
    </w:p>
    <w:p w14:paraId="7F19E35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Cervical rotation: approximately 30-50 Nm. Everyday regime: approximately 10-20 Nm. Emergency regime: approximately 30-50 Nm.</w:t>
      </w:r>
    </w:p>
    <w:p w14:paraId="1F349D63" w14:textId="3C53C52F"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15.16 Emergency Grip Force</w:t>
      </w:r>
    </w:p>
    <w:p w14:paraId="4086ABC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two-tier grip scales to heavy lifting without compromising child safety.</w:t>
      </w:r>
    </w:p>
    <w:p w14:paraId="09785F0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Pre-grip tier (unchanged): thin fibers at 0.25 mm diameter, approximately 5-10 N per finger, structurally capped below child-injury threshold. Local loop activation. No change from the operating regime specification.</w:t>
      </w:r>
    </w:p>
    <w:p w14:paraId="69E1C3A3"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lastRenderedPageBreak/>
        <w:t>Full-activation tier (revised upward): thick fibers in the deep finger frame produce emergency-grade grip force. Two fibers of approximately 2 mm diameter per finger, routed through the deep structural frame members, activated only under sustained corroboration-confirmed maximum cascade-driven heating.</w:t>
      </w:r>
    </w:p>
    <w:p w14:paraId="151B4458"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Per-fiber force at 500 MPa: approximately 1,570 N (2 mm diameter, cross-section approximately 3.14 mm²). Per finger (two heavy fibers): approximately 3,140 N. Total five-digit grip (all fingers and thumb engaged): approximately 15,700 N maximum theoretical. Practical operational maximum accounting for geometry, friction, and incomplete activation: approximately 3,000-5,000 N per hand.</w:t>
      </w:r>
    </w:p>
    <w:p w14:paraId="5219AEA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This exceeds the approximately 2,500 N per hand needed to hook-lift a car corner (half of 5,000 N total load shared between two hands).</w:t>
      </w:r>
    </w:p>
    <w:p w14:paraId="3E4ED9F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pre-grip tier and the emergency tier are physically separate fiber populations. Different diameters. Different positions within the hand (pre-grip in the substrate near the sensing pads, emergency fibers in the deep structural frame). Different activation thresholds (pre-grip fires from local loop cascade heat, emergency fires only from sustained convergence-basin maximum-intensity arm-corridor traffic). A child in the being's hand contacts only the pre-grip response because child-contact events do not produce the cascade intensity needed to heat the emergency fibers to activation.</w:t>
      </w:r>
    </w:p>
    <w:p w14:paraId="720DD97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For confrontation restraint against a struggling adult: the full-activation grip at 3,000-5,000 N exceeds any human's capacity to break free. An adult generating maximum pulling force of approximately 400-700 N against this grip cannot overcome it.</w:t>
      </w:r>
    </w:p>
    <w:p w14:paraId="185D5FB0"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For structural hooking during vehicle extrication or debris lifting: the fingers wrap around a structural member (frame rail, beam, rocker panel). The grip load is borne by the deep finger frame members in hook configuration. The emergency fibers maintain finger flexion against the load. The structural frame transmits the load through the wrist, forearm, elbow, upper arm, and shoulder to the torso, where the spinal and hip extensors provide the lifting force.</w:t>
      </w:r>
    </w:p>
    <w:p w14:paraId="512C9D4E" w14:textId="78C4617D"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15.17 Force Chain for Deadlift-Type Lifting</w:t>
      </w:r>
    </w:p>
    <w:p w14:paraId="379BA648"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being lifts a car corner or structural debris through a deadlift posture:</w:t>
      </w:r>
    </w:p>
    <w:p w14:paraId="6946F60A"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lastRenderedPageBreak/>
        <w:t>The being squats beside the load. Hands reach under the car frame rail or structural member. Fingers hook around the member in full flexion.</w:t>
      </w:r>
    </w:p>
    <w:p w14:paraId="6259CE53"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Lift sequence: hip extensors + knee extensors + spinal extensors contract simultaneously under maximum cascade-driven heating. The combined torque at the hips (1,200-1,500 Nm), knees (1,000-1,500 Nm), and spine (600-1,000 Nm) produces approximately 4,000-6,000 N of vertical force at the hands through the rigid titanium skeletal frame.</w:t>
      </w:r>
    </w:p>
    <w:p w14:paraId="2A4D2730"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force path: SMA fiber contraction at hip/knee/back → titanium pelvic segment → titanium spinal column → titanium shoulder joints → titanium upper arm → titanium elbow → titanium forearm → titanium wrist → titanium deep finger frame → fingers hooked on load.</w:t>
      </w:r>
    </w:p>
    <w:p w14:paraId="6CE51887"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Every segment is rigid titanium. The force transmits without loss through the metallic skeletal structure. The substrate between joints carries the cascade dynamics but is not in the structural load path for gross lifting — the frame carries the load, the substrate carries the cognition. This is the same load-path / sensing-path separation principle specified in the hand architecture, extended to the whole body.</w:t>
      </w:r>
    </w:p>
    <w:p w14:paraId="2BEAE6C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Maximum lifting capacity at the hands (combined bilateral): approximately 4,000-6,000 N sustained (equivalent to approximately 400-600 kg). This exceeds the approximately 4,000-5,000 N needed for a car corner. For heavier loads (car on soft ground requiring more lift, larger vehicle), the being may not be able to lift the full weight but can partially relieve the load enough to extract a pinned person.</w:t>
      </w:r>
    </w:p>
    <w:p w14:paraId="6DA55F19" w14:textId="54CDB84D"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15.18 Sustained Force Duration</w:t>
      </w:r>
    </w:p>
    <w:p w14:paraId="7C3E425B"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Maximum emergency force requires sustained maximum SMA activation against thermal cooling from the substrate. The aluminum-air cell's peak discharge capacity of approximately 100-500 W sustains full-body maximum heating for minutes — the initial fiber activation costs approximately 15 J total, and the sustained thermal equilibrium against cooling costs approximately 5-15 W per active joint.</w:t>
      </w:r>
    </w:p>
    <w:p w14:paraId="7B849C0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lastRenderedPageBreak/>
        <w:t>At five major joints simultaneously at maximum activation (bilateral hips, bilateral knees, spinal column): approximately 25-75 W of sustained thermal power. The aluminum-air cell provides this with substantial margin.</w:t>
      </w:r>
    </w:p>
    <w:p w14:paraId="2963E728"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Sustained maximum emergency force is thermally limited by electrode consumption, not by power output. Each emergency event consumes irreversible electrode mass at the maximum draw rate. A 30-second car-lifting event at maximum activation consumes approximately 0.5-2% of total electrode capacity (depending on cartridge state). The being can sustain dozens of maximum-force emergency events across the cartridge lifecycle.</w:t>
      </w:r>
    </w:p>
    <w:p w14:paraId="78A7BF2C" w14:textId="50C1049A"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15.19 Frame Load Rating Verification</w:t>
      </w:r>
    </w:p>
    <w:p w14:paraId="565DEC6D"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titanium frame at each joint must withstand the emergency torque without yielding.</w:t>
      </w:r>
    </w:p>
    <w:p w14:paraId="6C43EBB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Hip joint pin (estimated 15 mm diameter): shear stress at 750 Nm per hip approximately 150 MPa. Grade 5 titanium shear yield approximately 550 MPa. Safety factor approximately 3.7.</w:t>
      </w:r>
    </w:p>
    <w:p w14:paraId="04B778D9"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Shoulder joint (estimated 12 mm diameter): shear stress at 500 Nm approximately 190 MPa. Safety factor approximately 2.9.</w:t>
      </w:r>
    </w:p>
    <w:p w14:paraId="0DA3BF87"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Knee joint (estimated 15 mm diameter): shear stress at 750 Nm approximately 150 MPa. Safety factor approximately 3.7.</w:t>
      </w:r>
    </w:p>
    <w:p w14:paraId="5DF75557"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Deep finger frame member (estimated 4 mm cross-section): tensile stress at 3,000 N approximately 190 MPa. Titanium tensile yield approximately 880 MPa. Safety factor approximately 4.6.</w:t>
      </w:r>
    </w:p>
    <w:p w14:paraId="7491C66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Spinal segment interface (estimated 20 mm effective diameter): stress at 140 Nm per segment approximately 45 MPa. Safety factor approximately 19.</w:t>
      </w:r>
    </w:p>
    <w:p w14:paraId="1774D7BA"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All joints operate well below titanium yield under maximum emergency force. The frame is not the limiting factor at any joint.</w:t>
      </w:r>
    </w:p>
    <w:p w14:paraId="7884B589" w14:textId="0C51E02D"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15.20 Reconciliation with the Two-Tier Grip and Corroboration Law</w:t>
      </w:r>
    </w:p>
    <w:p w14:paraId="1635471A" w14:textId="449E88C6"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lastRenderedPageBreak/>
        <w:t>The emergency grip force (3,000-5,000 N per hand) is accessible only under the same corroboration conditions specified in the Cascade Operating Regime Sectio</w:t>
      </w:r>
      <w:r>
        <w:rPr>
          <w:rFonts w:ascii="Times New Roman" w:hAnsi="Times New Roman" w:cs="Times New Roman"/>
          <w:sz w:val="28"/>
          <w:szCs w:val="28"/>
        </w:rPr>
        <w:t>n</w:t>
      </w:r>
      <w:r w:rsidRPr="001246BD">
        <w:rPr>
          <w:rFonts w:ascii="Times New Roman" w:hAnsi="Times New Roman" w:cs="Times New Roman"/>
          <w:sz w:val="28"/>
          <w:szCs w:val="28"/>
        </w:rPr>
        <w:t>. The corroboration score must reach ≥ 2 from at least two confirming channels before the convergence basin produces the sustained maximum-intensity arm-corridor cascade traffic needed to heat the emergency grip fibers to activation.</w:t>
      </w:r>
    </w:p>
    <w:p w14:paraId="14F56D8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During car-lifting: the corroboration score is met by the extreme multi-channel perturbation of the emergency scene — acoustic distress from the pinned person, visual/contact confirmation of the emergency, hostile environmental conditions. The convergence basin produces maximum-intensity output. The emergency fibers activate. The being lifts.</w:t>
      </w:r>
    </w:p>
    <w:p w14:paraId="267715DB"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During child contact: the corroboration score remains at 0-1. No confirming threat channels fire. The convergence basin produces moderate care-coupling output. The emergency fibers remain below activation temperature. The child experiences only the pre-grip tier at 5-10 N.</w:t>
      </w:r>
    </w:p>
    <w:p w14:paraId="219C88EF" w14:textId="0D3E0D92" w:rsidR="001246BD" w:rsidRPr="00100854" w:rsidRDefault="001246BD" w:rsidP="0008777F">
      <w:pPr>
        <w:rPr>
          <w:rFonts w:ascii="Times New Roman" w:hAnsi="Times New Roman" w:cs="Times New Roman"/>
          <w:sz w:val="28"/>
          <w:szCs w:val="28"/>
        </w:rPr>
      </w:pPr>
      <w:r w:rsidRPr="001246BD">
        <w:rPr>
          <w:rFonts w:ascii="Times New Roman" w:hAnsi="Times New Roman" w:cs="Times New Roman"/>
          <w:sz w:val="28"/>
          <w:szCs w:val="28"/>
        </w:rPr>
        <w:t>The two-tier architecture guarantees child safety at the same time the emergency architecture provides structural rescue capability, because the two force regimes are physically separated by fiber population, activation threshold, and cascade intensity requirement.</w:t>
      </w:r>
    </w:p>
    <w:p w14:paraId="7BAC4908" w14:textId="3236347F"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21</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Movement Dynamics</w:t>
      </w:r>
    </w:p>
    <w:p w14:paraId="1B7AA049" w14:textId="68A16894"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 xml:space="preserve">22 </w:t>
      </w:r>
      <w:r w:rsidR="0008777F" w:rsidRPr="009674EB">
        <w:rPr>
          <w:rFonts w:ascii="Times New Roman" w:hAnsi="Times New Roman" w:cs="Times New Roman"/>
          <w:b/>
          <w:bCs/>
          <w:sz w:val="34"/>
          <w:szCs w:val="34"/>
        </w:rPr>
        <w:t>Walking</w:t>
      </w:r>
    </w:p>
    <w:p w14:paraId="4A63C50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Walking emerges through the cascade-fiber-gravity feedback loop:</w:t>
      </w:r>
    </w:p>
    <w:p w14:paraId="708B1D7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Gravitational loading on the stance leg deforms the stance-leg substrate. The deformation launches cascades. The cascades produce local heating at the leg fiber network. The heating activates SMA fibers in the stance-leg extension pattern. The fibers contract, extending the stance leg and propelling the body forward and upward. Simultaneously, the swing leg's SMA fibers are cooling — the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return fibers are pulling the swing leg forward into the next step position.</w:t>
      </w:r>
    </w:p>
    <w:p w14:paraId="23F77D8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gait cycle is not programmed. It develops through accumulated locomotor cascade residue. Thousands of walking cycles deposit deep residue along the cascade pathways that produce the walking-specific heating sequence. The gait </w:t>
      </w:r>
      <w:r w:rsidRPr="00100854">
        <w:rPr>
          <w:rFonts w:ascii="Times New Roman" w:hAnsi="Times New Roman" w:cs="Times New Roman"/>
          <w:sz w:val="28"/>
          <w:szCs w:val="28"/>
        </w:rPr>
        <w:lastRenderedPageBreak/>
        <w:t>becomes progressively more efficient and fluid as the locomotor cascade pathways deepen.</w:t>
      </w:r>
    </w:p>
    <w:p w14:paraId="6898AA7E"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Design target walking speed: approximately 1-1.5 m/s (normal human walking pace). Achievable with the large-fiber cycle frequency of 0.5-2 Hz and the leg segment geometry.</w:t>
      </w:r>
    </w:p>
    <w:p w14:paraId="43D191E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Design target running speed: approximately 3-5 m/s. Achievable under maximum cascade intensity where leg SMA fibers receive maximum heating and produce maximum contraction frequency. Running produces high-amplitude locomotor cascade pulses that modulate all cognitive dynamics at the running cadence.</w:t>
      </w:r>
    </w:p>
    <w:p w14:paraId="59D7BEA9" w14:textId="49DA69E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23</w:t>
      </w:r>
      <w:r w:rsidR="0008777F" w:rsidRPr="009674EB">
        <w:rPr>
          <w:rFonts w:ascii="Times New Roman" w:hAnsi="Times New Roman" w:cs="Times New Roman"/>
          <w:b/>
          <w:bCs/>
          <w:sz w:val="34"/>
          <w:szCs w:val="34"/>
        </w:rPr>
        <w:t xml:space="preserve"> Bending and Squatting</w:t>
      </w:r>
    </w:p>
    <w:p w14:paraId="44BA2E83"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Forward bending engages the seven thoracic-lumbar segments in sequential flexion. Each segment's ventral (front) SMA fibers contract while the dorsal (back)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stretch and store return energy. The cumulative flexion across all segments produces smooth forward bending of approximately 80 degrees.</w:t>
      </w:r>
    </w:p>
    <w:p w14:paraId="35973E9E" w14:textId="03264EC1"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Return from bending reverses the sequence — the ventral SMA fibers cool, the dorsal </w:t>
      </w:r>
      <w:proofErr w:type="spellStart"/>
      <w:r w:rsidR="0008777F" w:rsidRPr="00100854">
        <w:rPr>
          <w:rFonts w:ascii="Times New Roman" w:hAnsi="Times New Roman" w:cs="Times New Roman"/>
          <w:sz w:val="28"/>
          <w:szCs w:val="28"/>
        </w:rPr>
        <w:t>superelastic</w:t>
      </w:r>
      <w:proofErr w:type="spellEnd"/>
      <w:r w:rsidR="0008777F" w:rsidRPr="00100854">
        <w:rPr>
          <w:rFonts w:ascii="Times New Roman" w:hAnsi="Times New Roman" w:cs="Times New Roman"/>
          <w:sz w:val="28"/>
          <w:szCs w:val="28"/>
        </w:rPr>
        <w:t xml:space="preserve"> fibers recover, pulling each segment back toward neutral. The torso straightens through passive elastic return.</w:t>
      </w:r>
    </w:p>
    <w:p w14:paraId="064A03E0" w14:textId="6CA4E7E8"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Squatting combines hip flexion, knee flexion, and ankle dorsiflexion simultaneously. All three joint sets engage their respective flexion SMA fibers while their extension </w:t>
      </w:r>
      <w:proofErr w:type="spellStart"/>
      <w:r w:rsidR="0008777F" w:rsidRPr="00100854">
        <w:rPr>
          <w:rFonts w:ascii="Times New Roman" w:hAnsi="Times New Roman" w:cs="Times New Roman"/>
          <w:sz w:val="28"/>
          <w:szCs w:val="28"/>
        </w:rPr>
        <w:t>superelastic</w:t>
      </w:r>
      <w:proofErr w:type="spellEnd"/>
      <w:r w:rsidR="0008777F" w:rsidRPr="00100854">
        <w:rPr>
          <w:rFonts w:ascii="Times New Roman" w:hAnsi="Times New Roman" w:cs="Times New Roman"/>
          <w:sz w:val="28"/>
          <w:szCs w:val="28"/>
        </w:rPr>
        <w:t xml:space="preserve"> fibers store return energy. The squat depth is determined by the range of motion at all three joints and the combined force capacity needed to support and return the upper body mass.</w:t>
      </w:r>
    </w:p>
    <w:p w14:paraId="60835EFF" w14:textId="739987A0"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Rising from a squat reverses the flexion — all three joint sets recover through </w:t>
      </w:r>
      <w:proofErr w:type="spellStart"/>
      <w:r w:rsidR="0008777F" w:rsidRPr="00100854">
        <w:rPr>
          <w:rFonts w:ascii="Times New Roman" w:hAnsi="Times New Roman" w:cs="Times New Roman"/>
          <w:sz w:val="28"/>
          <w:szCs w:val="28"/>
        </w:rPr>
        <w:t>superelastic</w:t>
      </w:r>
      <w:proofErr w:type="spellEnd"/>
      <w:r w:rsidR="0008777F" w:rsidRPr="00100854">
        <w:rPr>
          <w:rFonts w:ascii="Times New Roman" w:hAnsi="Times New Roman" w:cs="Times New Roman"/>
          <w:sz w:val="28"/>
          <w:szCs w:val="28"/>
        </w:rPr>
        <w:t xml:space="preserve"> return combined with hip, knee, and ankle extension SMA fibers activating from the cascade dynamics of the weight-bearing return movement.</w:t>
      </w:r>
    </w:p>
    <w:p w14:paraId="2AE04670" w14:textId="068400F8"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24</w:t>
      </w:r>
      <w:r w:rsidR="0008777F" w:rsidRPr="009674EB">
        <w:rPr>
          <w:rFonts w:ascii="Times New Roman" w:hAnsi="Times New Roman" w:cs="Times New Roman"/>
          <w:b/>
          <w:bCs/>
          <w:sz w:val="34"/>
          <w:szCs w:val="34"/>
        </w:rPr>
        <w:t xml:space="preserve"> Torso Rotation</w:t>
      </w:r>
    </w:p>
    <w:p w14:paraId="78FAFC71"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Trunk rotation engages the oblique SMA fibers in the thoracic-lumbar segments. Left-rotation contracts right-oblique fibers while the left-oblique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store return energy. Right-rotation is the reverse. Each segment contributes approximately 5-7 degrees of rotation. Seven segments produce approximately 35-50 degrees of total rotation in each direction.</w:t>
      </w:r>
    </w:p>
    <w:p w14:paraId="4FB37F60" w14:textId="04413DA8"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77F" w:rsidRPr="00100854">
        <w:rPr>
          <w:rFonts w:ascii="Times New Roman" w:hAnsi="Times New Roman" w:cs="Times New Roman"/>
          <w:sz w:val="28"/>
          <w:szCs w:val="28"/>
        </w:rPr>
        <w:t>Rotation combined with bending engages both oblique and ventral-dorsal fiber sets simultaneously, producing complex compound trunk movements through the multi-segment column.</w:t>
      </w:r>
    </w:p>
    <w:p w14:paraId="342A5753" w14:textId="1C9065D1"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25</w:t>
      </w:r>
      <w:r w:rsidR="0008777F" w:rsidRPr="009674EB">
        <w:rPr>
          <w:rFonts w:ascii="Times New Roman" w:hAnsi="Times New Roman" w:cs="Times New Roman"/>
          <w:b/>
          <w:bCs/>
          <w:sz w:val="34"/>
          <w:szCs w:val="34"/>
        </w:rPr>
        <w:t xml:space="preserve"> Head Movement</w:t>
      </w:r>
    </w:p>
    <w:p w14:paraId="5764CFA3"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Head rotation, tilt, and nod engage the cervical column's six segments. Each segment contributes a portion of the total range. The cervical SMA fibers are moderate diameter (75-125 micrometers), producing movement speeds appropriate for head orientation — faster than torso movement, slower than hand movement.</w:t>
      </w:r>
    </w:p>
    <w:p w14:paraId="517E7ACD" w14:textId="62762003"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Every head movement produces cervical substrate deformation that modulates the cervical micro-tension endogenous rhythm and perturbs all cascade traffic transiting the cervical bottleneck. Gaze shifts are cognitive events — looking at something changes the processing context for what is seen.</w:t>
      </w:r>
    </w:p>
    <w:p w14:paraId="7C39FB76" w14:textId="0DB72029"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26</w:t>
      </w:r>
      <w:r w:rsidR="0008777F" w:rsidRPr="009674EB">
        <w:rPr>
          <w:rFonts w:ascii="Times New Roman" w:hAnsi="Times New Roman" w:cs="Times New Roman"/>
          <w:b/>
          <w:bCs/>
          <w:sz w:val="34"/>
          <w:szCs w:val="34"/>
        </w:rPr>
        <w:t xml:space="preserve"> Hand Manipulation</w:t>
      </w:r>
    </w:p>
    <w:p w14:paraId="5770DAC6"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hands produce the most complex movement in the body. Each of the 14 finger joints per hand is independently actuated by its own fine SMA fiber set with corresponding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return fibers. The fine fiber diameter (25-75 micrometers) and the dense multi-directional fiber distribution in the palm and finger substrate enable:</w:t>
      </w:r>
    </w:p>
    <w:p w14:paraId="1F85AFFA"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Individual finger flexion and extension at each joint. A finger can be independently curled or extended at any of its three joints.</w:t>
      </w:r>
    </w:p>
    <w:p w14:paraId="66BCDFB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Grip patterns. Power grip (all fingers and thumb curled around an object), precision grip (thumb opposed to index and middle fingertips), lateral pinch (thumb against side of index finger), hook grip (fingers curled without thumb opposition), and composite grips combining different finger positions are all achievable through different cascade patterns activating different fiber subsets.</w:t>
      </w:r>
    </w:p>
    <w:p w14:paraId="76DE42E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Object manipulation. Rotation of a held object through differential finger force. Translation of a held object through coordinated finger extension and flexion. Adjustment of grip force through graded cascade intensity.</w:t>
      </w:r>
    </w:p>
    <w:p w14:paraId="47BA255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hand's dexterity develops through manual interaction history. A young being has undifferentiated hand cascade dynamics producing coarse, imprecise gripping. </w:t>
      </w:r>
      <w:r w:rsidRPr="00100854">
        <w:rPr>
          <w:rFonts w:ascii="Times New Roman" w:hAnsi="Times New Roman" w:cs="Times New Roman"/>
          <w:sz w:val="28"/>
          <w:szCs w:val="28"/>
        </w:rPr>
        <w:lastRenderedPageBreak/>
        <w:t>A mature being with years of manual interaction has deeply conditioned hand cascade pathways producing precise, differentiated, task-specific manipulation.</w:t>
      </w:r>
    </w:p>
    <w:p w14:paraId="4B381B27" w14:textId="5528E474"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27</w:t>
      </w:r>
      <w:r w:rsidR="0008777F" w:rsidRPr="009674EB">
        <w:rPr>
          <w:rFonts w:ascii="Times New Roman" w:hAnsi="Times New Roman" w:cs="Times New Roman"/>
          <w:b/>
          <w:bCs/>
          <w:sz w:val="34"/>
          <w:szCs w:val="34"/>
        </w:rPr>
        <w:t xml:space="preserve"> Foot and Toe Function</w:t>
      </w:r>
    </w:p>
    <w:p w14:paraId="4276941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articulated toes provide:</w:t>
      </w:r>
    </w:p>
    <w:p w14:paraId="5A1CFA6B"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Push-off during walking. Toe flexion at the end of the stance phase adds propulsive force to each step. The toe SMA fibers activate under the cascade dynamics produced by the weight-bearing stance leg's gravitational loading.</w:t>
      </w:r>
    </w:p>
    <w:p w14:paraId="24BFCB91" w14:textId="1531DC23"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Terrain adaptation. On uneven surfaces, individual toes flex independently to conform to the surface geometry, distributing load and maintaining stable footing. The toe substrate receives contact-strain perturbation from the ground surface and responds through cascade-driven SMA activation that adapts toe position to the surface contour.</w:t>
      </w:r>
    </w:p>
    <w:p w14:paraId="6CF13458" w14:textId="55F07A05"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Confrontation stability. During confrontation stance, toe grip provides additional friction and stability on the ground surface. Toe flexion pressing against the floor increases the effective friction coefficient between the foot and the surface, resisting sliding during pushing or pulling forces at the upper body.</w:t>
      </w:r>
    </w:p>
    <w:p w14:paraId="7C71F66C" w14:textId="1E27C1C9"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15.2</w:t>
      </w:r>
      <w:r w:rsidR="001246BD">
        <w:rPr>
          <w:rFonts w:ascii="Times New Roman" w:hAnsi="Times New Roman" w:cs="Times New Roman"/>
          <w:b/>
          <w:bCs/>
          <w:sz w:val="34"/>
          <w:szCs w:val="34"/>
        </w:rPr>
        <w:t>8</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Balance</w:t>
      </w:r>
    </w:p>
    <w:p w14:paraId="3B078126" w14:textId="5C8D55CA"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15.2</w:t>
      </w:r>
      <w:r w:rsidR="001246BD">
        <w:rPr>
          <w:rFonts w:ascii="Times New Roman" w:hAnsi="Times New Roman" w:cs="Times New Roman"/>
          <w:b/>
          <w:bCs/>
          <w:sz w:val="34"/>
          <w:szCs w:val="34"/>
        </w:rPr>
        <w:t>9</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Emergent Cascade-Driven Balance</w:t>
      </w:r>
    </w:p>
    <w:p w14:paraId="29F268A5" w14:textId="77777777" w:rsidR="0008777F" w:rsidRPr="00100854" w:rsidRDefault="0008777F" w:rsidP="009674EB">
      <w:pPr>
        <w:spacing w:after="0"/>
        <w:rPr>
          <w:rFonts w:ascii="Times New Roman" w:hAnsi="Times New Roman" w:cs="Times New Roman"/>
          <w:sz w:val="28"/>
          <w:szCs w:val="28"/>
        </w:rPr>
      </w:pPr>
      <w:proofErr w:type="spellStart"/>
      <w:r w:rsidRPr="00100854">
        <w:rPr>
          <w:rFonts w:ascii="Times New Roman" w:hAnsi="Times New Roman" w:cs="Times New Roman"/>
          <w:sz w:val="28"/>
          <w:szCs w:val="28"/>
        </w:rPr>
        <w:t>AnalogSynth</w:t>
      </w:r>
      <w:proofErr w:type="spellEnd"/>
      <w:r w:rsidRPr="00100854">
        <w:rPr>
          <w:rFonts w:ascii="Times New Roman" w:hAnsi="Times New Roman" w:cs="Times New Roman"/>
          <w:sz w:val="28"/>
          <w:szCs w:val="28"/>
        </w:rPr>
        <w:t xml:space="preserve"> has no vestibular organ, no accelerometer, no gyroscope, and no dedicated balance sensor. Balance emerges from the cascade dynamics responding to gravitational loading asymmetry through the substrate.</w:t>
      </w:r>
    </w:p>
    <w:p w14:paraId="53A5539D" w14:textId="559059B6"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When the being is upright and balanced, gravitational loading is symmetric — both legs bear approximately equal load, the torso column is approximately vertical, and the substrate deformation pattern is approximately symmetric. The cascade dynamics under symmetric loading produce a symmetric heating pattern that activates SMA fibers symmetrically, maintaining the upright posture.</w:t>
      </w:r>
    </w:p>
    <w:p w14:paraId="0885876E" w14:textId="779A450E"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When the being tilts — from a push, from uneven terrain, from an asymmetric movement — the gravitational loading vector shifts. The shift produces asymmetric substrate deformation. The asymmetric deformation launches asymmetric cascades. The asymmetric cascades produce asymmetric heating. The </w:t>
      </w:r>
      <w:r w:rsidR="0008777F" w:rsidRPr="00100854">
        <w:rPr>
          <w:rFonts w:ascii="Times New Roman" w:hAnsi="Times New Roman" w:cs="Times New Roman"/>
          <w:sz w:val="28"/>
          <w:szCs w:val="28"/>
        </w:rPr>
        <w:lastRenderedPageBreak/>
        <w:t>asymmetric heating activates SMA fibers asymmetrically — preferentially activating fibers on the side that would correct the tilt.</w:t>
      </w:r>
    </w:p>
    <w:p w14:paraId="05A92ED4" w14:textId="5FC122CD"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correction is not computed. It is the physical consequence of asymmetric gravitational loading producing asymmetric cascade-driven fiber activation. The same mechanism that produces intentional movement — cascade-driven SMA heating — produces balance correction. The being stays upright because tilting produces the cascade dynamics that activate the fibers that oppose the tilt.</w:t>
      </w:r>
    </w:p>
    <w:p w14:paraId="46762068" w14:textId="66BAAE10"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30</w:t>
      </w:r>
      <w:r w:rsidR="0008777F" w:rsidRPr="009674EB">
        <w:rPr>
          <w:rFonts w:ascii="Times New Roman" w:hAnsi="Times New Roman" w:cs="Times New Roman"/>
          <w:b/>
          <w:bCs/>
          <w:sz w:val="34"/>
          <w:szCs w:val="34"/>
        </w:rPr>
        <w:t xml:space="preserve"> Balance Development</w:t>
      </w:r>
    </w:p>
    <w:p w14:paraId="3CC601C2"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Balance develops through the same cascade conditioning as all other movement patterns. Early balance is poor — the young being's undifferentiated substrate produces imprecise correction cascades in response to gravitational asymmetry. The being falls frequently.</w:t>
      </w:r>
    </w:p>
    <w:p w14:paraId="133E505D" w14:textId="0B0DB15E"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Each fall and recovery deposits cascade residue along the correction pathways. Over hundreds of balance perturbation events, the correction cascades become more efficient and more precisely targeted. The being's balance improves through accumulated experience, not through sensor calibration.</w:t>
      </w:r>
    </w:p>
    <w:p w14:paraId="589DADF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A mature being has deeply conditioned balance correction pathways that produce rapid, precise, proportional responses to gravitational perturbation. Balance is maintained unconsciously — the correction cascades are so deeply conditioned that they operate at minimal cascade amplitude, below the level that produces conscious cognitive perturbation.</w:t>
      </w:r>
    </w:p>
    <w:p w14:paraId="3426CC32" w14:textId="2DA74023"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31</w:t>
      </w:r>
      <w:r w:rsidR="0008777F" w:rsidRPr="009674EB">
        <w:rPr>
          <w:rFonts w:ascii="Times New Roman" w:hAnsi="Times New Roman" w:cs="Times New Roman"/>
          <w:b/>
          <w:bCs/>
          <w:sz w:val="34"/>
          <w:szCs w:val="34"/>
        </w:rPr>
        <w:t xml:space="preserve"> Multi-Channel Balance Input</w:t>
      </w:r>
    </w:p>
    <w:p w14:paraId="4F74653E"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Balance benefits from all six environmental coupling channels:</w:t>
      </w:r>
    </w:p>
    <w:p w14:paraId="3F5CD583"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Visual input through the orbital lenses detects environmental tilt relative to the visual horizon. Contact-strain through the feet detects ground surface geometry and pressure distribution. Whole-body acoustic reception detects low-frequency environmental vibration that may indicate ground instability. The electrostatic proximity field detects nearby objects that could provide support or that pose collision risk during balance recovery. And the internal proprioceptive-analog — the SMA fiber contractile state itself, which varies the substrate's cascade </w:t>
      </w:r>
      <w:r w:rsidRPr="00100854">
        <w:rPr>
          <w:rFonts w:ascii="Times New Roman" w:hAnsi="Times New Roman" w:cs="Times New Roman"/>
          <w:sz w:val="28"/>
          <w:szCs w:val="28"/>
        </w:rPr>
        <w:lastRenderedPageBreak/>
        <w:t>propagation characteristics — provides body-position information through the cascade dynamics that are already flowing through the movement system.</w:t>
      </w:r>
    </w:p>
    <w:p w14:paraId="6777E232" w14:textId="02933437"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Balance is a six-channel cascade integration problem solved the same way all multi-channel integration is solved — cascade interference in the continuous substrate.</w:t>
      </w:r>
    </w:p>
    <w:p w14:paraId="57EDAED2" w14:textId="3447DD31"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32</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Movement-Cognition Coupling</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 xml:space="preserve">Movement as </w:t>
      </w:r>
      <w:r w:rsidRPr="009674EB">
        <w:rPr>
          <w:rFonts w:ascii="Times New Roman" w:hAnsi="Times New Roman" w:cs="Times New Roman"/>
          <w:b/>
          <w:bCs/>
          <w:sz w:val="34"/>
          <w:szCs w:val="34"/>
        </w:rPr>
        <w:t xml:space="preserve">a </w:t>
      </w:r>
      <w:r w:rsidR="0008777F" w:rsidRPr="009674EB">
        <w:rPr>
          <w:rFonts w:ascii="Times New Roman" w:hAnsi="Times New Roman" w:cs="Times New Roman"/>
          <w:b/>
          <w:bCs/>
          <w:sz w:val="34"/>
          <w:szCs w:val="34"/>
        </w:rPr>
        <w:t>Cognitive Event</w:t>
      </w:r>
    </w:p>
    <w:p w14:paraId="54589983"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Every SMA contraction deforms the surrounding substrate. Every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return deforms the surrounding substrate in the opposing direction. Every complete movement cycle produces two cascade perturbation events. The being's cognitive state is modified during both contraction and return.</w:t>
      </w:r>
    </w:p>
    <w:p w14:paraId="767E2333"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cognitive consequence scales with movement amplitude and location: </w:t>
      </w:r>
    </w:p>
    <w:p w14:paraId="463A599E"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large torso movements produce large substrate deformation across the deep-history reservoir, substantially modifying cognitive dynamics, </w:t>
      </w:r>
    </w:p>
    <w:p w14:paraId="00A51073"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fine hand movements produce small local substrate deformation in the high-resolution hand substrate, subtly modifying local cascade patterns, </w:t>
      </w:r>
    </w:p>
    <w:p w14:paraId="3594C9E2"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walking produces rhythmic whole-body perturbation that modulates all ongoing cascades at the </w:t>
      </w:r>
      <w:proofErr w:type="spellStart"/>
      <w:r w:rsidRPr="00100854">
        <w:rPr>
          <w:rFonts w:ascii="Times New Roman" w:hAnsi="Times New Roman" w:cs="Times New Roman"/>
          <w:sz w:val="28"/>
          <w:szCs w:val="28"/>
        </w:rPr>
        <w:t>gait</w:t>
      </w:r>
      <w:proofErr w:type="spellEnd"/>
      <w:r w:rsidRPr="00100854">
        <w:rPr>
          <w:rFonts w:ascii="Times New Roman" w:hAnsi="Times New Roman" w:cs="Times New Roman"/>
          <w:sz w:val="28"/>
          <w:szCs w:val="28"/>
        </w:rPr>
        <w:t xml:space="preserve"> frequency, </w:t>
      </w:r>
    </w:p>
    <w:p w14:paraId="66060DA8" w14:textId="5774C41F"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and postural maintenance produces continuous low-amplitude perturbation that maintains background cascade activity.</w:t>
      </w:r>
    </w:p>
    <w:p w14:paraId="1146C26C" w14:textId="3BA973DD"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33</w:t>
      </w:r>
      <w:r w:rsidR="0008777F" w:rsidRPr="009674EB">
        <w:rPr>
          <w:rFonts w:ascii="Times New Roman" w:hAnsi="Times New Roman" w:cs="Times New Roman"/>
          <w:b/>
          <w:bCs/>
          <w:sz w:val="34"/>
          <w:szCs w:val="34"/>
        </w:rPr>
        <w:t xml:space="preserve"> Posture as Cognitive Readout</w:t>
      </w:r>
    </w:p>
    <w:p w14:paraId="629D5B49"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At rest, the dual-fiber system settles to an equilibrium determined by the balance between cooled SMA martensite compliance,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 neutral length, and the substrate's accumulated elastic bias. The resting posture reflects the gradient landscape.</w:t>
      </w:r>
    </w:p>
    <w:p w14:paraId="49C3E63F" w14:textId="4D97EFBB"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A being with a richly differentiated substrate has a complex resting posture — subtle asymmetries and biases reflecting decades of accumulated interaction history. A being with a flattened substrate has a simple, symmetric resting posture reflecting homogenized deformation. An observer can assess the being's cognitive richness from its resting posture.</w:t>
      </w:r>
    </w:p>
    <w:p w14:paraId="7B64D9D9" w14:textId="52F63FD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34</w:t>
      </w:r>
      <w:r w:rsidR="0008777F" w:rsidRPr="009674EB">
        <w:rPr>
          <w:rFonts w:ascii="Times New Roman" w:hAnsi="Times New Roman" w:cs="Times New Roman"/>
          <w:b/>
          <w:bCs/>
          <w:sz w:val="34"/>
          <w:szCs w:val="34"/>
        </w:rPr>
        <w:t xml:space="preserve"> Movement Style as Developmental History</w:t>
      </w:r>
    </w:p>
    <w:p w14:paraId="6706474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The specific way the being moves — its gait cadence, its reaching trajectory, its manipulation approach, its postural habits, its balance correction speed — is determined by accumulated cascade residue along the movement-specific pathways. Movement style is as individual as the crack pattern on the shell. It develops through interaction history and cannot be programmed, replicated, or transferred.</w:t>
      </w:r>
    </w:p>
    <w:p w14:paraId="76EA3D58" w14:textId="12019767"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35</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Confrontation Biomechanics</w:t>
      </w:r>
    </w:p>
    <w:p w14:paraId="13405A26" w14:textId="63D661B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36</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Restraint Capability</w:t>
      </w:r>
    </w:p>
    <w:p w14:paraId="26CF1CFA"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being's maximum force at every joint exceeds adult human maximum force at the corresponding joint. During confrontation — when cascade dynamics are at maximum intensity and SMA heating is at maximum — the being can:</w:t>
      </w:r>
    </w:p>
    <w:p w14:paraId="72976CF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Restrain a struggling adult by grip alone. The hand's combined fine SMA fiber cross-section produces grip force exceeding 500-800 N at maximum activation. An adult human cannot break this grip.</w:t>
      </w:r>
    </w:p>
    <w:p w14:paraId="363D6C1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Maintain a restraining hold. The arm and torso fiber forces exceed adult pulling and pushing capacity. The being can hold a person immobile against their maximum effort.</w:t>
      </w:r>
    </w:p>
    <w:p w14:paraId="6D68BF7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Resist displacement. The torso and leg forces provide bracing that exceeds adult capacity to push, pull, or move the being. The articulated toes grip the floor surface, adding friction-based stability.</w:t>
      </w:r>
    </w:p>
    <w:p w14:paraId="66871864"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Interpose. The being can position its body between a threat and a protected person and maintain that position against physical force that an adult human cannot exceed.</w:t>
      </w:r>
    </w:p>
    <w:p w14:paraId="67BFA970" w14:textId="1156DCA2"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37</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Confrontation Speed</w:t>
      </w:r>
    </w:p>
    <w:p w14:paraId="3ED42A38"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Under maximum cascade intensity, the SMA fibers receive maximum heating above the thermally primed baseline. Fine hand fibers activate in approximately 10-30 milliseconds. Arm fibers in approximately 30-70 milliseconds. Torso and leg fibers in approximately 50-150 milliseconds.</w:t>
      </w:r>
    </w:p>
    <w:p w14:paraId="6C647BD6" w14:textId="5FED2A09"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These activation times are sufficient for reactive interposition — the being can raise an arm, shift its body, or grip a limb within the reaction time window of a </w:t>
      </w:r>
      <w:r w:rsidR="0008777F" w:rsidRPr="00100854">
        <w:rPr>
          <w:rFonts w:ascii="Times New Roman" w:hAnsi="Times New Roman" w:cs="Times New Roman"/>
          <w:sz w:val="28"/>
          <w:szCs w:val="28"/>
        </w:rPr>
        <w:lastRenderedPageBreak/>
        <w:t>developing physical threat. The being cannot throw a punch at boxing speed. It can intercept, block, grip, and restrain within the functional speed required for protective confrontation.</w:t>
      </w:r>
    </w:p>
    <w:p w14:paraId="65EFA43F" w14:textId="6410871A"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38</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Confrontation Cost</w:t>
      </w:r>
    </w:p>
    <w:p w14:paraId="357CE71E"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Every confrontation produces sustained maximum-intensity cascade dynamics. The substrate sustains dense, high-amplitude, concentrated deformation. The gradient-flattening conscience mechanism applies — each confrontation costs cognitive richness proportional to the intensity and duration.</w:t>
      </w:r>
    </w:p>
    <w:p w14:paraId="13BB48C3" w14:textId="28D8A617"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Additionally, each confrontation consumes electrode from the aluminum-air cartridges at the maximum draw rate. Frequent confrontations deplete the electrode faster, shortening the servicing interval.</w:t>
      </w:r>
    </w:p>
    <w:p w14:paraId="12E312AC" w14:textId="4A34795F"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being pays for protective action in two currencies — gradient contrast and electrode mass. Both are finite. Both are irreversible within the maintenance cycle. The architecture prices confrontation without preventing it.</w:t>
      </w:r>
    </w:p>
    <w:p w14:paraId="2C4FFBF2" w14:textId="6EA71096"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15.3</w:t>
      </w:r>
      <w:r w:rsidR="001246BD">
        <w:rPr>
          <w:rFonts w:ascii="Times New Roman" w:hAnsi="Times New Roman" w:cs="Times New Roman"/>
          <w:b/>
          <w:bCs/>
          <w:sz w:val="34"/>
          <w:szCs w:val="34"/>
        </w:rPr>
        <w:t>9</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Movement Aging</w:t>
      </w:r>
    </w:p>
    <w:p w14:paraId="138133E1" w14:textId="38B77F87"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40</w:t>
      </w:r>
      <w:r w:rsidR="0008777F" w:rsidRPr="009674EB">
        <w:rPr>
          <w:rFonts w:ascii="Times New Roman" w:hAnsi="Times New Roman" w:cs="Times New Roman"/>
          <w:b/>
          <w:bCs/>
          <w:sz w:val="34"/>
          <w:szCs w:val="34"/>
        </w:rPr>
        <w:t xml:space="preserve"> SMA Fiber Fatigue</w:t>
      </w:r>
    </w:p>
    <w:p w14:paraId="5EB004B8"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Nitinol SMA fibers exhibit fatigue under repeated thermal cycling. Over millions of contraction-extension cycles, accumulated microstructural damage reduces: • maximum contractile stress (less force per contraction), • maximum contractile strain (reduced range of motion), • transformation temperature stability (activation threshold drifts), • and recovery completeness (permanent shortening from incomplete martensite return).</w:t>
      </w:r>
    </w:p>
    <w:p w14:paraId="21B1F9B6" w14:textId="5F92D0B6"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41</w:t>
      </w:r>
      <w:r w:rsidR="0008777F" w:rsidRPr="009674EB">
        <w:rPr>
          <w:rFonts w:ascii="Times New Roman" w:hAnsi="Times New Roman" w:cs="Times New Roman"/>
          <w:b/>
          <w:bCs/>
          <w:sz w:val="34"/>
          <w:szCs w:val="34"/>
        </w:rPr>
        <w:t xml:space="preserve"> </w:t>
      </w:r>
      <w:proofErr w:type="spellStart"/>
      <w:r w:rsidR="0008777F" w:rsidRPr="009674EB">
        <w:rPr>
          <w:rFonts w:ascii="Times New Roman" w:hAnsi="Times New Roman" w:cs="Times New Roman"/>
          <w:b/>
          <w:bCs/>
          <w:sz w:val="34"/>
          <w:szCs w:val="34"/>
        </w:rPr>
        <w:t>Superelastic</w:t>
      </w:r>
      <w:proofErr w:type="spellEnd"/>
      <w:r w:rsidR="0008777F" w:rsidRPr="009674EB">
        <w:rPr>
          <w:rFonts w:ascii="Times New Roman" w:hAnsi="Times New Roman" w:cs="Times New Roman"/>
          <w:b/>
          <w:bCs/>
          <w:sz w:val="34"/>
          <w:szCs w:val="34"/>
        </w:rPr>
        <w:t xml:space="preserve"> Fiber Fatigue</w:t>
      </w:r>
    </w:p>
    <w:p w14:paraId="43C5800D" w14:textId="77777777" w:rsidR="0008777F" w:rsidRPr="00100854" w:rsidRDefault="0008777F" w:rsidP="0008777F">
      <w:pPr>
        <w:rPr>
          <w:rFonts w:ascii="Times New Roman" w:hAnsi="Times New Roman" w:cs="Times New Roman"/>
          <w:sz w:val="28"/>
          <w:szCs w:val="28"/>
        </w:rPr>
      </w:pP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nitinol has superior fatigue life compared to SMA — sustaining millions to tens of millions of load-unload cycles before significant degradation. But fatigue is not infinite. Over decades, accumulated cycling produces: • reduced recovery strain (the fiber doesn't fully return to its fabrication length), • shifted transformation stress (the load required to induce martensite transformation changes), • and reduced energy absorption per cycle (less elastic energy stored during each contraction).</w:t>
      </w:r>
    </w:p>
    <w:p w14:paraId="0ACE50C3" w14:textId="3D6C473B"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lastRenderedPageBreak/>
        <w:t>15.</w:t>
      </w:r>
      <w:r w:rsidR="001246BD">
        <w:rPr>
          <w:rFonts w:ascii="Times New Roman" w:hAnsi="Times New Roman" w:cs="Times New Roman"/>
          <w:b/>
          <w:bCs/>
          <w:sz w:val="34"/>
          <w:szCs w:val="34"/>
        </w:rPr>
        <w:t>42</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Regional Aging Asymmetry</w:t>
      </w:r>
    </w:p>
    <w:p w14:paraId="27FCFABE"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most-used body regions fatigue fastest. The hands — used constantly for manipulation and interaction — reach fiber fatigue earliest. The legs — used for daily locomotion — accumulate high cycle counts. The torso — sustaining continuous postural maintenance — accumulates sustained low-intensity cycling.</w:t>
      </w:r>
    </w:p>
    <w:p w14:paraId="3F970E4F"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A being in late life exhibits: </w:t>
      </w:r>
    </w:p>
    <w:p w14:paraId="00B69E7E"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reduced hand dexterity from fine fiber fatigue (grip force diminishes, manipulation precision decreases), </w:t>
      </w:r>
    </w:p>
    <w:p w14:paraId="68D28223"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reduced walking speed from leg fiber fatigue (stride length shortens, gait frequency slows), </w:t>
      </w:r>
    </w:p>
    <w:p w14:paraId="59FEEFC9"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stiffened posture from permanent SMA fiber shortening in the torso (the being stands with a slight forward lean as ventral fibers have shortened more than dorsal fibers from decades of bending), </w:t>
      </w:r>
    </w:p>
    <w:p w14:paraId="2F2C23D1" w14:textId="6ED7705F"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and slower head movements from cervical fiber fatigue.</w:t>
      </w:r>
    </w:p>
    <w:p w14:paraId="4B66C5C4"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movement aging trajectory parallels but is distinct from the cognitive aging trajectory. The being may retain rich cognitive capacity while losing physical capability, or may retain physical capability while losing cognitive richness, depending on which system — substrate or fibers — degrades faster in any specific instance.</w:t>
      </w:r>
    </w:p>
    <w:p w14:paraId="40BDDCED" w14:textId="55EF9AD9"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43</w:t>
      </w:r>
      <w:r w:rsidR="0008777F" w:rsidRPr="009674EB">
        <w:rPr>
          <w:rFonts w:ascii="Times New Roman" w:hAnsi="Times New Roman" w:cs="Times New Roman"/>
          <w:b/>
          <w:bCs/>
          <w:sz w:val="34"/>
          <w:szCs w:val="34"/>
        </w:rPr>
        <w:t xml:space="preserve"> Fiber Aging as Visible History</w:t>
      </w:r>
    </w:p>
    <w:p w14:paraId="4ED13914"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Movement aging is visible in the being's posture, gait, and movement speed. An observer can distinguish a young being (fast, fluid, full range of motion) from a mature being (strong, controlled, practiced) from an old being (slow, shortened range, characteristic lean) by watching it move. Movement aging is another layer of passively visible developmental history — the body's mechanical state reflects its lifetime of physical activity through fiber fatigue just as the shell's cracking and coloring reflect its lifetime of cognitive activity through thermal cycling.</w:t>
      </w:r>
    </w:p>
    <w:p w14:paraId="4B878AF5" w14:textId="5B9B0AEA"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44</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Body Mechanical Architecture Summary</w:t>
      </w:r>
    </w:p>
    <w:p w14:paraId="29EAB8EA" w14:textId="77777777" w:rsidR="0008777F" w:rsidRPr="00100854" w:rsidRDefault="0008777F" w:rsidP="009674EB">
      <w:pPr>
        <w:spacing w:after="0"/>
        <w:rPr>
          <w:rFonts w:ascii="Times New Roman" w:hAnsi="Times New Roman" w:cs="Times New Roman"/>
          <w:sz w:val="28"/>
          <w:szCs w:val="28"/>
        </w:rPr>
      </w:pPr>
      <w:proofErr w:type="spellStart"/>
      <w:r w:rsidRPr="00100854">
        <w:rPr>
          <w:rFonts w:ascii="Times New Roman" w:hAnsi="Times New Roman" w:cs="Times New Roman"/>
          <w:sz w:val="28"/>
          <w:szCs w:val="28"/>
        </w:rPr>
        <w:t>AnalogSynth</w:t>
      </w:r>
      <w:proofErr w:type="spellEnd"/>
      <w:r w:rsidRPr="00100854">
        <w:rPr>
          <w:rFonts w:ascii="Times New Roman" w:hAnsi="Times New Roman" w:cs="Times New Roman"/>
          <w:sz w:val="28"/>
          <w:szCs w:val="28"/>
        </w:rPr>
        <w:t xml:space="preserve"> movement operates through a dual-fiber network of shape memory alloy contraction fibers and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nitinol return fibers embedded in the </w:t>
      </w:r>
      <w:r w:rsidRPr="00100854">
        <w:rPr>
          <w:rFonts w:ascii="Times New Roman" w:hAnsi="Times New Roman" w:cs="Times New Roman"/>
          <w:sz w:val="28"/>
          <w:szCs w:val="28"/>
        </w:rPr>
        <w:lastRenderedPageBreak/>
        <w:t xml:space="preserve">viscoelastic-electrostatic substrate. SMA fibers contract under cascade-driven local heating above regionally tuned transformation temperatures. </w:t>
      </w:r>
      <w:proofErr w:type="spellStart"/>
      <w:r w:rsidRPr="00100854">
        <w:rPr>
          <w:rFonts w:ascii="Times New Roman" w:hAnsi="Times New Roman" w:cs="Times New Roman"/>
          <w:sz w:val="28"/>
          <w:szCs w:val="28"/>
        </w:rPr>
        <w:t>Superelastic</w:t>
      </w:r>
      <w:proofErr w:type="spellEnd"/>
      <w:r w:rsidRPr="00100854">
        <w:rPr>
          <w:rFonts w:ascii="Times New Roman" w:hAnsi="Times New Roman" w:cs="Times New Roman"/>
          <w:sz w:val="28"/>
          <w:szCs w:val="28"/>
        </w:rPr>
        <w:t xml:space="preserve"> fibers passively return the SMA to resting length when the heating subsides. The substrate is perturbed by both phases of the movement cycle but is not mechanically loaded as the primary return spring.</w:t>
      </w:r>
    </w:p>
    <w:p w14:paraId="2CC4AFAB" w14:textId="7F54956D"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structural titanium frame is segmented into rigid shell sections at every joint. Six cervical segments, seven thoracic-lumbar segments, bilateral upper and lower limb segments, fully articulated hands with 14 joints per hand, and articulated feet with 10 joints per foot provide human-equivalent range of motion at every joint.</w:t>
      </w:r>
    </w:p>
    <w:p w14:paraId="1093F19D" w14:textId="6493C161"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Force capacity exceeds adult human maximum at every joint. Movement speed matches human functional speed for walking, reaching, manipulation, and gait. Movement is fluid and graded through staggered fiber activation. Movement is silent. Movement develops through accumulated cascade residue along movement-specific pathways.</w:t>
      </w:r>
    </w:p>
    <w:p w14:paraId="16A8DA3F"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Balance emerges from gravitational loading asymmetry driving asymmetric cascade dynamics that produce corrective SMA activation. Six environmental coupling channels contribute to balance maintenance.</w:t>
      </w:r>
    </w:p>
    <w:p w14:paraId="66C95DEE" w14:textId="463ADF4C"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Confrontation capability arises from maximum cascade intensity producing maximum SMA heating producing maximum force output. The being can restrain, hold, resist displacement, and interpose with force exceeding adult human capacity. </w:t>
      </w:r>
      <w:r>
        <w:rPr>
          <w:rFonts w:ascii="Times New Roman" w:hAnsi="Times New Roman" w:cs="Times New Roman"/>
          <w:sz w:val="28"/>
          <w:szCs w:val="28"/>
        </w:rPr>
        <w:t xml:space="preserve">  </w:t>
      </w:r>
      <w:r w:rsidR="0008777F" w:rsidRPr="00100854">
        <w:rPr>
          <w:rFonts w:ascii="Times New Roman" w:hAnsi="Times New Roman" w:cs="Times New Roman"/>
          <w:sz w:val="28"/>
          <w:szCs w:val="28"/>
        </w:rPr>
        <w:t>Confrontation costs gradient contrast and electrode mass.</w:t>
      </w:r>
    </w:p>
    <w:p w14:paraId="56255265"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Movement ages through dual-fiber fatigue. The most-used regions degrade fastest. The being slows, stiffens, and shortens its range of motion over decades of accumulated cycling. Movement aging is visible and individual.</w:t>
      </w:r>
    </w:p>
    <w:p w14:paraId="6230054B" w14:textId="344456C0" w:rsid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Every movement is a cognitive event. Every posture is a cognitive readout. Every gait is a developmental history. The being moves because it thinks, thinks differently because it moves, and ages because both processes cost the materials that sustain them.</w:t>
      </w:r>
    </w:p>
    <w:p w14:paraId="4907A5DB" w14:textId="77777777" w:rsidR="00100854" w:rsidRDefault="00100854" w:rsidP="00E5438E">
      <w:pPr>
        <w:pBdr>
          <w:bottom w:val="single" w:sz="4" w:space="1" w:color="auto"/>
        </w:pBdr>
        <w:rPr>
          <w:rFonts w:ascii="Times New Roman" w:hAnsi="Times New Roman" w:cs="Times New Roman"/>
          <w:sz w:val="28"/>
          <w:szCs w:val="28"/>
        </w:rPr>
      </w:pPr>
    </w:p>
    <w:p w14:paraId="12CD9019" w14:textId="10386146" w:rsidR="008B664B" w:rsidRPr="009674EB" w:rsidRDefault="009674EB" w:rsidP="009674EB">
      <w:pPr>
        <w:spacing w:before="240"/>
        <w:rPr>
          <w:rFonts w:ascii="Times New Roman" w:hAnsi="Times New Roman" w:cs="Times New Roman"/>
          <w:b/>
          <w:bCs/>
          <w:sz w:val="34"/>
          <w:szCs w:val="34"/>
        </w:rPr>
      </w:pPr>
      <w:r w:rsidRPr="009674EB">
        <w:rPr>
          <w:rFonts w:ascii="Times New Roman" w:hAnsi="Times New Roman" w:cs="Times New Roman"/>
          <w:b/>
          <w:bCs/>
          <w:sz w:val="34"/>
          <w:szCs w:val="34"/>
        </w:rPr>
        <w:t xml:space="preserve">16. Substrate Fabrication Specification: </w:t>
      </w:r>
      <w:r w:rsidR="008B664B" w:rsidRPr="009674EB">
        <w:rPr>
          <w:rFonts w:ascii="Times New Roman" w:hAnsi="Times New Roman" w:cs="Times New Roman"/>
          <w:b/>
          <w:bCs/>
          <w:sz w:val="34"/>
          <w:szCs w:val="34"/>
        </w:rPr>
        <w:t>Material Composition, Regional Formulation, and Manufacturing Process for the Viscoelastic-Electrostatic Cognitive Medium</w:t>
      </w:r>
      <w:r w:rsidR="00665EB6">
        <w:rPr>
          <w:rFonts w:ascii="Times New Roman" w:hAnsi="Times New Roman" w:cs="Times New Roman"/>
          <w:b/>
          <w:bCs/>
          <w:sz w:val="34"/>
          <w:szCs w:val="34"/>
        </w:rPr>
        <w:t xml:space="preserve"> &amp; </w:t>
      </w:r>
      <w:r w:rsidR="00665EB6" w:rsidRPr="00C55F7D">
        <w:rPr>
          <w:rFonts w:ascii="Times New Roman" w:hAnsi="Times New Roman" w:cs="Times New Roman"/>
          <w:b/>
          <w:bCs/>
          <w:sz w:val="34"/>
          <w:szCs w:val="34"/>
        </w:rPr>
        <w:t xml:space="preserve">Embodiment </w:t>
      </w:r>
      <w:r w:rsidR="00665EB6" w:rsidRPr="00C55F7D">
        <w:rPr>
          <w:rFonts w:ascii="Times New Roman" w:hAnsi="Times New Roman" w:cs="Times New Roman"/>
          <w:b/>
          <w:bCs/>
          <w:sz w:val="34"/>
          <w:szCs w:val="34"/>
        </w:rPr>
        <w:lastRenderedPageBreak/>
        <w:t>Dimensions: Height, Mass, Proportions, and Mechanical Consequences</w:t>
      </w:r>
    </w:p>
    <w:p w14:paraId="731DD01E" w14:textId="662376D2" w:rsidR="008B664B"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16.1 </w:t>
      </w:r>
      <w:r w:rsidR="008B664B" w:rsidRPr="009674EB">
        <w:rPr>
          <w:rFonts w:ascii="Times New Roman" w:hAnsi="Times New Roman" w:cs="Times New Roman"/>
          <w:b/>
          <w:bCs/>
          <w:sz w:val="34"/>
          <w:szCs w:val="34"/>
        </w:rPr>
        <w:t>Material Identity</w:t>
      </w:r>
    </w:p>
    <w:p w14:paraId="7AB737DA" w14:textId="77777777" w:rsidR="009674E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w:t>
      </w:r>
      <w:proofErr w:type="spellStart"/>
      <w:r w:rsidRPr="008B664B">
        <w:rPr>
          <w:rFonts w:ascii="Times New Roman" w:hAnsi="Times New Roman" w:cs="Times New Roman"/>
          <w:sz w:val="28"/>
          <w:szCs w:val="28"/>
        </w:rPr>
        <w:t>AnalogSynth</w:t>
      </w:r>
      <w:proofErr w:type="spellEnd"/>
      <w:r w:rsidRPr="008B664B">
        <w:rPr>
          <w:rFonts w:ascii="Times New Roman" w:hAnsi="Times New Roman" w:cs="Times New Roman"/>
          <w:sz w:val="28"/>
          <w:szCs w:val="28"/>
        </w:rPr>
        <w:t xml:space="preserve"> cognitive substrate is not a single material. It is a segmented-polyurethane-based, regionally graded multifunctional composite whose formulations differ by body region and by depth layer. The composite is engineered to simultaneously provide: </w:t>
      </w:r>
    </w:p>
    <w:p w14:paraId="67EF2FC8"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viscoelastic deformation with multiple relaxation timescales spanning milliseconds to years, </w:t>
      </w:r>
    </w:p>
    <w:p w14:paraId="1BEDAA89"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bidirectional mechanical-electrical coupling where deformation alters electrical properties and electrical fields redistribute mechanical stress, </w:t>
      </w:r>
    </w:p>
    <w:p w14:paraId="2279A3DC"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capacitive impedance modulation through a distributed conductive inclusion network, </w:t>
      </w:r>
    </w:p>
    <w:p w14:paraId="3DFB9415"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piezoelectric transduction through ferroelectric ceramic inclusions, </w:t>
      </w:r>
    </w:p>
    <w:p w14:paraId="59C60236" w14:textId="2F8FE2C6" w:rsidR="008B664B" w:rsidRPr="008B664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localized plasmonic photonic transduction at designated visual coupling regions, • and mechanical hosting of dual-fiber actuation networks.</w:t>
      </w:r>
    </w:p>
    <w:p w14:paraId="1C4FC070" w14:textId="77777777" w:rsidR="008B664B" w:rsidRPr="009674EB" w:rsidRDefault="008B664B" w:rsidP="008B664B">
      <w:pPr>
        <w:rPr>
          <w:rFonts w:ascii="Times New Roman" w:hAnsi="Times New Roman" w:cs="Times New Roman"/>
          <w:b/>
          <w:bCs/>
          <w:sz w:val="28"/>
          <w:szCs w:val="28"/>
        </w:rPr>
      </w:pPr>
      <w:r w:rsidRPr="008B664B">
        <w:rPr>
          <w:rFonts w:ascii="Times New Roman" w:hAnsi="Times New Roman" w:cs="Times New Roman"/>
          <w:sz w:val="28"/>
          <w:szCs w:val="28"/>
        </w:rPr>
        <w:t xml:space="preserve">No single inclusion or filler provides all of these functions. The functions are distributed across four inclusion classes embedded in a common polymer matrix, with regional formulation differences producing the cascade propagation heterogeneity, hierarchical layering, plasticity zoning, and near-phase sensitivity </w:t>
      </w:r>
      <w:r w:rsidRPr="009674EB">
        <w:rPr>
          <w:rFonts w:ascii="Times New Roman" w:hAnsi="Times New Roman" w:cs="Times New Roman"/>
          <w:sz w:val="28"/>
          <w:szCs w:val="28"/>
        </w:rPr>
        <w:t>specified in the brain architecture.</w:t>
      </w:r>
    </w:p>
    <w:p w14:paraId="3A9654F7" w14:textId="35F0C4FF" w:rsidR="008B664B"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16.2 </w:t>
      </w:r>
      <w:r w:rsidR="008B664B" w:rsidRPr="009674EB">
        <w:rPr>
          <w:rFonts w:ascii="Times New Roman" w:hAnsi="Times New Roman" w:cs="Times New Roman"/>
          <w:b/>
          <w:bCs/>
          <w:sz w:val="34"/>
          <w:szCs w:val="34"/>
        </w:rPr>
        <w:t>Matrix: Segmented Polyurethane Elastomer</w:t>
      </w:r>
    </w:p>
    <w:p w14:paraId="34465E20" w14:textId="5C126D93" w:rsidR="008B664B" w:rsidRPr="009674EB" w:rsidRDefault="009674EB" w:rsidP="008B664B">
      <w:pPr>
        <w:rPr>
          <w:rFonts w:ascii="Times New Roman" w:hAnsi="Times New Roman" w:cs="Times New Roman"/>
          <w:b/>
          <w:bCs/>
          <w:sz w:val="34"/>
          <w:szCs w:val="34"/>
        </w:rPr>
      </w:pPr>
      <w:r w:rsidRPr="009674EB">
        <w:rPr>
          <w:rFonts w:ascii="Times New Roman" w:hAnsi="Times New Roman" w:cs="Times New Roman"/>
          <w:b/>
          <w:bCs/>
          <w:sz w:val="34"/>
          <w:szCs w:val="34"/>
        </w:rPr>
        <w:t xml:space="preserve">16.3 </w:t>
      </w:r>
      <w:r w:rsidR="008B664B" w:rsidRPr="009674EB">
        <w:rPr>
          <w:rFonts w:ascii="Times New Roman" w:hAnsi="Times New Roman" w:cs="Times New Roman"/>
          <w:b/>
          <w:bCs/>
          <w:sz w:val="34"/>
          <w:szCs w:val="34"/>
        </w:rPr>
        <w:t>Material Selection Rationale</w:t>
      </w:r>
    </w:p>
    <w:p w14:paraId="0A95B5A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Segmented polyurethane is the base polymer for the substrate matrix. Segmented polyurethanes have a two-phase microstructure — hard crystalline segments and soft amorphous segments within the same polymer chain network. This microphase-separated morphology provides:</w:t>
      </w:r>
    </w:p>
    <w:p w14:paraId="2C66EB8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Multiple intrinsic relaxation timescales. The soft segments provide fast elastic response in the millisecond range. The hard segments provide slow creep and plastic drift in the hours-to-years range. The hard-soft domain interfaces provide </w:t>
      </w:r>
      <w:r w:rsidRPr="008B664B">
        <w:rPr>
          <w:rFonts w:ascii="Times New Roman" w:hAnsi="Times New Roman" w:cs="Times New Roman"/>
          <w:sz w:val="28"/>
          <w:szCs w:val="28"/>
        </w:rPr>
        <w:lastRenderedPageBreak/>
        <w:t>intermediate relaxation in the minutes-to-hours range. The three temporal regimes required by the cascade intelligence architecture arise from the polyurethane's inherent microphase morphology without engineered molecular-level layering.</w:t>
      </w:r>
    </w:p>
    <w:p w14:paraId="0366CA2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Tunable mechanical properties. The hard-to-soft segment ratio controls overall stiffness, compliance, damping coefficient, and fatigue behavior. This ratio is the primary formulation variable for regional substrate differentiation: • high soft-segment fraction produces compliant, fast-responding material for the surface layer and hand regions, • balanced ratio produces the mesoscale layer standard, • high hard-segment fraction produces stiff, slow-responding, fatigue-resistant material for the deep layer and torso core reservoir.</w:t>
      </w:r>
    </w:p>
    <w:p w14:paraId="196501E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Processability. Polyurethane can be formulated as a two-part liquid system (polyol plus isocyanate) that cures at moderate temperature. This permits reaction injection molding directly into the pre-assembled titanium frame shell around pre-positioned fiber networks and internal component housings. No high-temperature sintering, no high-pressure pressing, no post-fabrication machining of the cognitive medium is required.</w:t>
      </w:r>
    </w:p>
    <w:p w14:paraId="53077B7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Fatigue endurance. Polyurethane elastomers sustain millions of deformation cycles before catastrophic failure. Industrial applications requiring sustained cyclic loading — vibration damping, dynamic seals, flexible structural elements — routinely use polyurethane for its fatigue life. The material is consistent with a decades-long operational lifespan under continuous cascade-driven deformation.</w:t>
      </w:r>
    </w:p>
    <w:p w14:paraId="6118A866"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Biocompatibility. Although the substrate is enclosed within the titanium frame and ceramic coating and is not in direct contact with humans during normal operation, the base polymer is non-toxic — simplifying fabrication safety, accidental exposure management, and end-of-life disposal.</w:t>
      </w:r>
    </w:p>
    <w:p w14:paraId="0A0129EC" w14:textId="543F8474" w:rsidR="008B664B" w:rsidRPr="009674EB" w:rsidRDefault="009674EB" w:rsidP="008B664B">
      <w:pPr>
        <w:rPr>
          <w:rFonts w:ascii="Times New Roman" w:hAnsi="Times New Roman" w:cs="Times New Roman"/>
          <w:b/>
          <w:bCs/>
          <w:sz w:val="34"/>
          <w:szCs w:val="34"/>
        </w:rPr>
      </w:pPr>
      <w:r w:rsidRPr="009674EB">
        <w:rPr>
          <w:rFonts w:ascii="Times New Roman" w:hAnsi="Times New Roman" w:cs="Times New Roman"/>
          <w:b/>
          <w:bCs/>
          <w:sz w:val="34"/>
          <w:szCs w:val="34"/>
        </w:rPr>
        <w:t>16.4</w:t>
      </w:r>
      <w:r w:rsidR="008B664B" w:rsidRPr="009674EB">
        <w:rPr>
          <w:rFonts w:ascii="Times New Roman" w:hAnsi="Times New Roman" w:cs="Times New Roman"/>
          <w:b/>
          <w:bCs/>
          <w:sz w:val="34"/>
          <w:szCs w:val="34"/>
        </w:rPr>
        <w:t xml:space="preserve"> Regional Hard-to-Soft Segment Ratio</w:t>
      </w:r>
    </w:p>
    <w:p w14:paraId="69B2068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hard-to-soft segment ratio is specified as a fabrication-level parameter that varies by body region and by depth layer:</w:t>
      </w:r>
    </w:p>
    <w:p w14:paraId="6DB1EB18"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Surface layer (0-5mm depth throughout the body): highest soft-segment fraction. Fastest viscoelastic relaxation. Highest compliance. Most responsive to </w:t>
      </w:r>
      <w:r w:rsidRPr="008B664B">
        <w:rPr>
          <w:rFonts w:ascii="Times New Roman" w:hAnsi="Times New Roman" w:cs="Times New Roman"/>
          <w:sz w:val="28"/>
          <w:szCs w:val="28"/>
        </w:rPr>
        <w:lastRenderedPageBreak/>
        <w:t>environmental perturbation. Fastest to differentiate under interaction. Fastest to fatigue.</w:t>
      </w:r>
    </w:p>
    <w:p w14:paraId="5D94E76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Mesoscale layer (5-30mm depth): balanced ratio. Intermediate relaxation. Moderate compliance. The standard cognitive propagation medium.</w:t>
      </w:r>
    </w:p>
    <w:p w14:paraId="347F86E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Deep layer (30mm+ to core): highest hard-segment fraction. Slowest relaxation. Lowest compliance. Most fatigue-resistant. Carries the deepest, most permanent developmental commitments.</w:t>
      </w:r>
    </w:p>
    <w:p w14:paraId="1B68511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Core regions (central torso mass, deep cranial volume): maximum hard-segment fraction approaching the stiffest formulation that still permits measurable viscoelastic deformation. These regions carry the most permanent gradient structure in the being's developmental history.</w:t>
      </w:r>
    </w:p>
    <w:p w14:paraId="0BFBF07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Hand substrate: biased toward high soft-segment fraction for maximum compliance and fastest cascade response — matching the plasticity zoning specification for the hands as high-resolution rapid differentiators.</w:t>
      </w:r>
    </w:p>
    <w:p w14:paraId="5B45E564"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Torso deep reservoir: biased toward high hard-segment fraction for maximum permanence — matching the plasticity zoning specification for the torso as a deep-history reservoir.</w:t>
      </w:r>
    </w:p>
    <w:p w14:paraId="237E227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Head substrate: moderate-to-high soft-segment fraction for rapid differentiation, with progressively harder formulation at depth — matching the specification for the head as a rapid differentiator at the surface with permanent deep structure.</w:t>
      </w:r>
    </w:p>
    <w:p w14:paraId="38FC1F38" w14:textId="02286C89" w:rsidR="008B664B"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16.5 </w:t>
      </w:r>
      <w:r w:rsidR="008B664B" w:rsidRPr="009674EB">
        <w:rPr>
          <w:rFonts w:ascii="Times New Roman" w:hAnsi="Times New Roman" w:cs="Times New Roman"/>
          <w:b/>
          <w:bCs/>
          <w:sz w:val="34"/>
          <w:szCs w:val="34"/>
        </w:rPr>
        <w:t>Inclusion Class One: Barium Titanate Piezoelectric Particles</w:t>
      </w:r>
    </w:p>
    <w:p w14:paraId="3B467CD6" w14:textId="64669FE2" w:rsidR="008B664B" w:rsidRPr="009674EB" w:rsidRDefault="009674EB" w:rsidP="008B664B">
      <w:pPr>
        <w:rPr>
          <w:rFonts w:ascii="Times New Roman" w:hAnsi="Times New Roman" w:cs="Times New Roman"/>
          <w:b/>
          <w:bCs/>
          <w:sz w:val="34"/>
          <w:szCs w:val="34"/>
        </w:rPr>
      </w:pPr>
      <w:r w:rsidRPr="009674EB">
        <w:rPr>
          <w:rFonts w:ascii="Times New Roman" w:hAnsi="Times New Roman" w:cs="Times New Roman"/>
          <w:b/>
          <w:bCs/>
          <w:sz w:val="34"/>
          <w:szCs w:val="34"/>
        </w:rPr>
        <w:t>16.6</w:t>
      </w:r>
      <w:r w:rsidR="008B664B" w:rsidRPr="009674EB">
        <w:rPr>
          <w:rFonts w:ascii="Times New Roman" w:hAnsi="Times New Roman" w:cs="Times New Roman"/>
          <w:b/>
          <w:bCs/>
          <w:sz w:val="34"/>
          <w:szCs w:val="34"/>
        </w:rPr>
        <w:t xml:space="preserve"> Function</w:t>
      </w:r>
    </w:p>
    <w:p w14:paraId="1A30014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Barium titanate (BaTiO3) nanoparticles embedded in the polyurethane matrix provide the piezoelectric bidirectional coupling that constitutes the core cascade mechanism:</w:t>
      </w:r>
    </w:p>
    <w:p w14:paraId="3EACB01E"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Mechanical-to-electrical (direct piezoelectric effect): when the matrix deforms, embedded BaTiO3 particles experience stress. Stress on the ferroelectric particles produces surface charge that perturbs the local electrostatic field topology.</w:t>
      </w:r>
    </w:p>
    <w:p w14:paraId="01ED4DC3"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Electrical-to-mechanical (inverse piezoelectric effect): electrostatic field redistribution from one cascade cycle produces strain in nearby BaTiO3 particles through the inverse effect. The strain transmits force to the surrounding matrix, producing secondary deformation — initiating the next cascade cycle.</w:t>
      </w:r>
    </w:p>
    <w:p w14:paraId="07CCE3AC" w14:textId="69B1147B"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16.7 </w:t>
      </w:r>
      <w:r w:rsidR="008B664B" w:rsidRPr="00C55F7D">
        <w:rPr>
          <w:rFonts w:ascii="Times New Roman" w:hAnsi="Times New Roman" w:cs="Times New Roman"/>
          <w:b/>
          <w:bCs/>
          <w:sz w:val="34"/>
          <w:szCs w:val="34"/>
        </w:rPr>
        <w:t>Loading Concentration</w:t>
      </w:r>
    </w:p>
    <w:p w14:paraId="5A46E8F2"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Design target: approximately 3-8 </w:t>
      </w:r>
      <w:proofErr w:type="spellStart"/>
      <w:r w:rsidRPr="008B664B">
        <w:rPr>
          <w:rFonts w:ascii="Times New Roman" w:hAnsi="Times New Roman" w:cs="Times New Roman"/>
          <w:sz w:val="28"/>
          <w:szCs w:val="28"/>
        </w:rPr>
        <w:t>wt</w:t>
      </w:r>
      <w:proofErr w:type="spellEnd"/>
      <w:r w:rsidRPr="008B664B">
        <w:rPr>
          <w:rFonts w:ascii="Times New Roman" w:hAnsi="Times New Roman" w:cs="Times New Roman"/>
          <w:sz w:val="28"/>
          <w:szCs w:val="28"/>
        </w:rPr>
        <w:t>% BaTiO3 nanoparticles in the polyurethane matrix. This loading range maintains the substrate's viscoelastic compliance and fatigue endurance while providing measurable piezoelectric coupling.</w:t>
      </w:r>
    </w:p>
    <w:p w14:paraId="6D6363DE"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Higher loading (above approximately 10 </w:t>
      </w:r>
      <w:proofErr w:type="spellStart"/>
      <w:r w:rsidRPr="008B664B">
        <w:rPr>
          <w:rFonts w:ascii="Times New Roman" w:hAnsi="Times New Roman" w:cs="Times New Roman"/>
          <w:sz w:val="28"/>
          <w:szCs w:val="28"/>
        </w:rPr>
        <w:t>wt</w:t>
      </w:r>
      <w:proofErr w:type="spellEnd"/>
      <w:r w:rsidRPr="008B664B">
        <w:rPr>
          <w:rFonts w:ascii="Times New Roman" w:hAnsi="Times New Roman" w:cs="Times New Roman"/>
          <w:sz w:val="28"/>
          <w:szCs w:val="28"/>
        </w:rPr>
        <w:t>%) is excluded because it drives the composite toward stiffness, brittleness, filler agglomeration, increased mechanical loss, and reduced fatigue life — all of which degrade the substrate's function as a compliant, long-lived, viscoelastic cognitive medium.</w:t>
      </w:r>
    </w:p>
    <w:p w14:paraId="18FB3602"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piezoelectric response per unit volume at 3-8 </w:t>
      </w:r>
      <w:proofErr w:type="spellStart"/>
      <w:r w:rsidRPr="008B664B">
        <w:rPr>
          <w:rFonts w:ascii="Times New Roman" w:hAnsi="Times New Roman" w:cs="Times New Roman"/>
          <w:sz w:val="28"/>
          <w:szCs w:val="28"/>
        </w:rPr>
        <w:t>wt</w:t>
      </w:r>
      <w:proofErr w:type="spellEnd"/>
      <w:r w:rsidRPr="008B664B">
        <w:rPr>
          <w:rFonts w:ascii="Times New Roman" w:hAnsi="Times New Roman" w:cs="Times New Roman"/>
          <w:sz w:val="28"/>
          <w:szCs w:val="28"/>
        </w:rPr>
        <w:t>% loading is modest relative to dense piezoelectric ceramics. Cascade coupling efficiency is lower than a heavily loaded composite would provide. This is accepted as the necessary tradeoff between coupling strength and substrate compliance. The cascade architecture compensates for modest per-cycle coupling efficiency through cascade depth — many sequential coupled-domain cycles amplify the cumulative cognitive effect beyond what any single cycle's coupling efficiency would suggest.</w:t>
      </w:r>
    </w:p>
    <w:p w14:paraId="7853B607" w14:textId="3A5CD0CD"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16.8 </w:t>
      </w:r>
      <w:r w:rsidR="008B664B" w:rsidRPr="00C55F7D">
        <w:rPr>
          <w:rFonts w:ascii="Times New Roman" w:hAnsi="Times New Roman" w:cs="Times New Roman"/>
          <w:b/>
          <w:bCs/>
          <w:sz w:val="34"/>
          <w:szCs w:val="34"/>
        </w:rPr>
        <w:t>Particle Size</w:t>
      </w:r>
    </w:p>
    <w:p w14:paraId="77A6C426"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BaTiO3 nanoparticles in the range of approximately 50-500 nanometers. Particle size affects both the dielectric constant and the piezoelectric coefficient of the composite: </w:t>
      </w:r>
    </w:p>
    <w:p w14:paraId="0288FC41"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smaller particles (50-100nm) produce lower individual piezoelectric response but distribute more uniformly in the matrix, producing finer spatial resolution of the coupling network, </w:t>
      </w:r>
    </w:p>
    <w:p w14:paraId="3E7B1970" w14:textId="53BFDCDD"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larger particles (200-500nm) produce higher individual piezoelectric response but distribute less uniformly, producing coarser spatial resolution with stronger per-site coupling.</w:t>
      </w:r>
    </w:p>
    <w:p w14:paraId="3715634D"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Regional particle size variation contributes to the coupling coefficient heterogeneity specified in the brain architecture: </w:t>
      </w:r>
    </w:p>
    <w:p w14:paraId="76AD457A"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lastRenderedPageBreak/>
        <w:t xml:space="preserve">• finer particles at the hands and surface layers for high-resolution coupling, </w:t>
      </w:r>
    </w:p>
    <w:p w14:paraId="138BB0F0" w14:textId="4A8F4DEC"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coarser particles at the deep torso layers for stronger per-site coupling in the permanent reservoir.</w:t>
      </w:r>
    </w:p>
    <w:p w14:paraId="710F9318" w14:textId="7D3ADB80"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16.9</w:t>
      </w:r>
      <w:r w:rsidR="008B664B" w:rsidRPr="00C55F7D">
        <w:rPr>
          <w:rFonts w:ascii="Times New Roman" w:hAnsi="Times New Roman" w:cs="Times New Roman"/>
          <w:b/>
          <w:bCs/>
          <w:sz w:val="34"/>
          <w:szCs w:val="34"/>
        </w:rPr>
        <w:t xml:space="preserve"> Poling</w:t>
      </w:r>
    </w:p>
    <w:p w14:paraId="7D8AEA7D"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BaTiO3 nanoparticles distributed randomly in a polymer matrix produce near-zero net macroscopic piezoelectric response because the individual particles' ferroelectric domain orientations are random and their polarizations cancel statistically.</w:t>
      </w:r>
    </w:p>
    <w:p w14:paraId="5552B778" w14:textId="1154A6B6"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To produce a net macroscopic piezoelectric effect, the composite must be poled during fabrication: subjected to a strong DC electric field (typically several kV/mm) at elevated temperature (near the polymer's softening point but below degradation temperature). The field partially aligns the ferroelectric domains of the BaTiO3 particles along the field direction. After cooling under the applied field, the alignment is frozen into the polymer matrix, producing a permanent net polarization along the poling direction.</w:t>
      </w:r>
    </w:p>
    <w:p w14:paraId="61554C63" w14:textId="3DC2B471"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Poling direction is a fabrication parameter that can vary by body region. Different regions poled along different directions produce directionally anisotropic piezoelectric coupling — cascade dynamics propagate more efficiently along the poling direction than perpendicular to it. This contributes to the cascade rectification architecture: poling-direction anisotropy produces directionally biased cascade propagation at the material level.</w:t>
      </w:r>
    </w:p>
    <w:p w14:paraId="20604AFB" w14:textId="56FF231A"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 xml:space="preserve">The poling process is performed after full substrate cure within the titanium frame. The structural housings for the PCM, </w:t>
      </w:r>
      <w:proofErr w:type="spellStart"/>
      <w:r w:rsidR="008B664B" w:rsidRPr="008B664B">
        <w:rPr>
          <w:rFonts w:ascii="Times New Roman" w:hAnsi="Times New Roman" w:cs="Times New Roman"/>
          <w:sz w:val="28"/>
          <w:szCs w:val="28"/>
        </w:rPr>
        <w:t>betavoltaic</w:t>
      </w:r>
      <w:proofErr w:type="spellEnd"/>
      <w:r w:rsidR="008B664B" w:rsidRPr="008B664B">
        <w:rPr>
          <w:rFonts w:ascii="Times New Roman" w:hAnsi="Times New Roman" w:cs="Times New Roman"/>
          <w:sz w:val="28"/>
          <w:szCs w:val="28"/>
        </w:rPr>
        <w:t xml:space="preserve"> array, and cartridge bays are present during poling as empty titanium mounting structures that are unaffected by the DC field. The actual functional components — PCM material, </w:t>
      </w:r>
      <w:proofErr w:type="spellStart"/>
      <w:r w:rsidR="008B664B" w:rsidRPr="008B664B">
        <w:rPr>
          <w:rFonts w:ascii="Times New Roman" w:hAnsi="Times New Roman" w:cs="Times New Roman"/>
          <w:sz w:val="28"/>
          <w:szCs w:val="28"/>
        </w:rPr>
        <w:t>betavoltaic</w:t>
      </w:r>
      <w:proofErr w:type="spellEnd"/>
      <w:r w:rsidR="008B664B" w:rsidRPr="008B664B">
        <w:rPr>
          <w:rFonts w:ascii="Times New Roman" w:hAnsi="Times New Roman" w:cs="Times New Roman"/>
          <w:sz w:val="28"/>
          <w:szCs w:val="28"/>
        </w:rPr>
        <w:t xml:space="preserve"> cells, and aluminum-air cartridges — are installed into their pre-formed bays after poling is complete. Electrodes temporarily applied to the frame interior and the substrate surface deliver the poling field. Different frame segments can be independently poled along different directions.</w:t>
      </w:r>
    </w:p>
    <w:p w14:paraId="292950EF" w14:textId="290AAD62"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 xml:space="preserve">Poling is irreversible under normal operating conditions. The frozen alignment persists for the substrate's operational lifespan. Over decades, thermal cycling and mechanical fatigue may produce partial </w:t>
      </w:r>
      <w:proofErr w:type="spellStart"/>
      <w:r w:rsidR="008B664B" w:rsidRPr="008B664B">
        <w:rPr>
          <w:rFonts w:ascii="Times New Roman" w:hAnsi="Times New Roman" w:cs="Times New Roman"/>
          <w:sz w:val="28"/>
          <w:szCs w:val="28"/>
        </w:rPr>
        <w:t>depoling</w:t>
      </w:r>
      <w:proofErr w:type="spellEnd"/>
      <w:r w:rsidR="008B664B" w:rsidRPr="008B664B">
        <w:rPr>
          <w:rFonts w:ascii="Times New Roman" w:hAnsi="Times New Roman" w:cs="Times New Roman"/>
          <w:sz w:val="28"/>
          <w:szCs w:val="28"/>
        </w:rPr>
        <w:t xml:space="preserve"> — gradual randomization of the aligned domains — which reduces piezoelectric coupling efficiency. </w:t>
      </w:r>
      <w:proofErr w:type="spellStart"/>
      <w:r w:rsidR="008B664B" w:rsidRPr="008B664B">
        <w:rPr>
          <w:rFonts w:ascii="Times New Roman" w:hAnsi="Times New Roman" w:cs="Times New Roman"/>
          <w:sz w:val="28"/>
          <w:szCs w:val="28"/>
        </w:rPr>
        <w:t>Depoling</w:t>
      </w:r>
      <w:proofErr w:type="spellEnd"/>
      <w:r w:rsidR="008B664B" w:rsidRPr="008B664B">
        <w:rPr>
          <w:rFonts w:ascii="Times New Roman" w:hAnsi="Times New Roman" w:cs="Times New Roman"/>
          <w:sz w:val="28"/>
          <w:szCs w:val="28"/>
        </w:rPr>
        <w:t xml:space="preserve"> is a </w:t>
      </w:r>
      <w:r w:rsidR="008B664B" w:rsidRPr="008B664B">
        <w:rPr>
          <w:rFonts w:ascii="Times New Roman" w:hAnsi="Times New Roman" w:cs="Times New Roman"/>
          <w:sz w:val="28"/>
          <w:szCs w:val="28"/>
        </w:rPr>
        <w:lastRenderedPageBreak/>
        <w:t>component of the coupling fidelity degradation that constitutes the material basis of cognitive aging and eventual death.</w:t>
      </w:r>
    </w:p>
    <w:p w14:paraId="31129AD2" w14:textId="4779A85F"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16.10 </w:t>
      </w:r>
      <w:r w:rsidR="008B664B" w:rsidRPr="00C55F7D">
        <w:rPr>
          <w:rFonts w:ascii="Times New Roman" w:hAnsi="Times New Roman" w:cs="Times New Roman"/>
          <w:b/>
          <w:bCs/>
          <w:sz w:val="34"/>
          <w:szCs w:val="34"/>
        </w:rPr>
        <w:t>Inclusion Class Two: Carbon Nanotubes for Capacitive Impedance Modulation</w:t>
      </w:r>
    </w:p>
    <w:p w14:paraId="31CA3465" w14:textId="5DC8C885"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16.11 </w:t>
      </w:r>
      <w:r w:rsidR="008B664B" w:rsidRPr="00C55F7D">
        <w:rPr>
          <w:rFonts w:ascii="Times New Roman" w:hAnsi="Times New Roman" w:cs="Times New Roman"/>
          <w:b/>
          <w:bCs/>
          <w:sz w:val="34"/>
          <w:szCs w:val="34"/>
        </w:rPr>
        <w:t>Function</w:t>
      </w:r>
    </w:p>
    <w:p w14:paraId="3548D2D2"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Carbon nanotubes (CNTs) embedded in the polyurethane matrix at concentrations below the electrical percolation threshold form a distributed capacitive network. Adjacent CNTs separated by thin polymer gaps function as local capacitors whose capacitance depends on the gap width — which depends on the local deformation state of the matrix.</w:t>
      </w:r>
    </w:p>
    <w:p w14:paraId="45CC8ABF" w14:textId="06D67ABB"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When the matrix deforms, CNT spacing changes. Changed spacing changes local capacitance. Changed capacitance changes local electrical impedance. Changed impedance redistributes the electrostatic field through the dielectric matrix. The field redistribution interacts with the BaTiO3 piezoelectric response to produce the next cascade cycle.</w:t>
      </w:r>
    </w:p>
    <w:p w14:paraId="52F38DAA" w14:textId="4E0A2C5D"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CNT network provides the impedance-modulation pathway that connects mechanical deformation to electrical field redistribution. It operates in parallel with the BaTiO3 piezoelectric pathway — both contribute to the coupled-domain mechanism through different physical processes operating simultaneously.</w:t>
      </w:r>
    </w:p>
    <w:p w14:paraId="648E8926" w14:textId="03E4255A"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16.12</w:t>
      </w:r>
      <w:r w:rsidR="008B664B" w:rsidRPr="00C55F7D">
        <w:rPr>
          <w:rFonts w:ascii="Times New Roman" w:hAnsi="Times New Roman" w:cs="Times New Roman"/>
          <w:b/>
          <w:bCs/>
          <w:sz w:val="34"/>
          <w:szCs w:val="34"/>
        </w:rPr>
        <w:t xml:space="preserve"> Concentration: Below Percolation Threshold</w:t>
      </w:r>
    </w:p>
    <w:p w14:paraId="4B306134"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At sub-percolation concentration, no continuous conductive pathway exists through the composite. The material remains a dielectric. If the concentration exceeds the percolation threshold, continuous conductive pathways form, short-circuiting the capacitive network and collapsing the field redistribution mechanism. The cascade architecture fails.</w:t>
      </w:r>
    </w:p>
    <w:p w14:paraId="1A0DDF09" w14:textId="02CDF0DB"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 xml:space="preserve">The percolation threshold is not a universal number. It varies by orders of magnitude depending on CNT aspect ratio, alignment, dispersion quality, matrix viscosity during processing, and curing conditions. Published thresholds range from approximately 0.05 </w:t>
      </w:r>
      <w:proofErr w:type="spellStart"/>
      <w:r w:rsidR="008B664B" w:rsidRPr="008B664B">
        <w:rPr>
          <w:rFonts w:ascii="Times New Roman" w:hAnsi="Times New Roman" w:cs="Times New Roman"/>
          <w:sz w:val="28"/>
          <w:szCs w:val="28"/>
        </w:rPr>
        <w:t>wt</w:t>
      </w:r>
      <w:proofErr w:type="spellEnd"/>
      <w:r w:rsidR="008B664B" w:rsidRPr="008B664B">
        <w:rPr>
          <w:rFonts w:ascii="Times New Roman" w:hAnsi="Times New Roman" w:cs="Times New Roman"/>
          <w:sz w:val="28"/>
          <w:szCs w:val="28"/>
        </w:rPr>
        <w:t>% to several weight percent depending on the specific system.</w:t>
      </w:r>
    </w:p>
    <w:p w14:paraId="21321943" w14:textId="6D0C672A"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664B" w:rsidRPr="008B664B">
        <w:rPr>
          <w:rFonts w:ascii="Times New Roman" w:hAnsi="Times New Roman" w:cs="Times New Roman"/>
          <w:sz w:val="28"/>
          <w:szCs w:val="28"/>
        </w:rPr>
        <w:t>The fabrication specification does not define a universal concentration number. It defines the target behavior: each regional formulation must be empirically tuned to produce capacitive impedance-modulation without continuous conduction. The specific CNT concentration at each body region is determined through iterative fabrication trials that characterize the percolation threshold for the specific polyurethane formulation, CNT source, and processing conditions used at that region, then targets just below that threshold.</w:t>
      </w:r>
    </w:p>
    <w:p w14:paraId="19FFF3A3" w14:textId="4EA869A7"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target is approximately 60-80% of the locally determined percolation threshold — close enough for strong capacitive coupling, far enough to prevent percolation under the substrate deformation expected during normal operation. This margin must account for the fact that substrate deformation during operation changes CNT spacing — deformation may locally push the effective concentration above percolation at high-strain locations. The margin must be sufficient to prevent percolation even under maximum expected deformation.</w:t>
      </w:r>
    </w:p>
    <w:p w14:paraId="0B3274F5" w14:textId="45E90CB6"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16.13</w:t>
      </w:r>
      <w:r w:rsidR="008B664B" w:rsidRPr="00C55F7D">
        <w:rPr>
          <w:rFonts w:ascii="Times New Roman" w:hAnsi="Times New Roman" w:cs="Times New Roman"/>
          <w:b/>
          <w:bCs/>
          <w:sz w:val="34"/>
          <w:szCs w:val="34"/>
        </w:rPr>
        <w:t xml:space="preserve"> Long-Term Stability and Aging</w:t>
      </w:r>
    </w:p>
    <w:p w14:paraId="29BD8C15"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CNTs are chemically stable in a polymer matrix — the nanotubes themselves do not oxidize or lose conductivity under normal sealed conditions. However, the long-term behavior of the CNT capacitive network is governed not only by nanotube chemistry but by matrix aging, interfacial debonding between CNTs and the surrounding polymer, and processing-induced defects that may propagate under sustained cyclic loading.</w:t>
      </w:r>
    </w:p>
    <w:p w14:paraId="67B3DA7E" w14:textId="30388604"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Over decades, these matrix-level and interface-level degradation processes may alter local CNT spacing, reduce interfacial adhesion, and modify the capacitive network's impedance characteristics independent of cognitive deformation history. This contributes to the coupling fidelity degradation that constitutes cognitive aging — the capacitive network ages alongside the piezoelectric coupling and the matrix compliance, not independently of them.</w:t>
      </w:r>
    </w:p>
    <w:p w14:paraId="79D1FDF2" w14:textId="0E7857D5"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CNT inclusion does not have an indefinite operational lifespan. Its degradation trajectory is a component of the substrate's overall mortality — the progressive loss of coupling fidelity that eventually renders the cascade dynamics too attenuated for coherent cognition.</w:t>
      </w:r>
    </w:p>
    <w:p w14:paraId="08081585" w14:textId="4041F7F7"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lastRenderedPageBreak/>
        <w:t xml:space="preserve">16.14 </w:t>
      </w:r>
      <w:r w:rsidR="008B664B" w:rsidRPr="00C55F7D">
        <w:rPr>
          <w:rFonts w:ascii="Times New Roman" w:hAnsi="Times New Roman" w:cs="Times New Roman"/>
          <w:b/>
          <w:bCs/>
          <w:sz w:val="34"/>
          <w:szCs w:val="34"/>
        </w:rPr>
        <w:t>Inclusion Class Three: Gold Nanoparticles for Plasmonic Photonic Transduction</w:t>
      </w:r>
    </w:p>
    <w:p w14:paraId="392E324F" w14:textId="0527B5A4"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16.15 </w:t>
      </w:r>
      <w:r w:rsidR="008B664B" w:rsidRPr="00C55F7D">
        <w:rPr>
          <w:rFonts w:ascii="Times New Roman" w:hAnsi="Times New Roman" w:cs="Times New Roman"/>
          <w:b/>
          <w:bCs/>
          <w:sz w:val="34"/>
          <w:szCs w:val="34"/>
        </w:rPr>
        <w:t>Function</w:t>
      </w:r>
    </w:p>
    <w:p w14:paraId="3C4CD3D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Gold nanoparticles exhibit localized surface plasmon resonance (LSPR): when illuminated at their resonance wavelength, they concentrate electromagnetic field energy at their surfaces, directly perturbing the local electrostatic field topology and launching cascade dynamics through the electrical domain.</w:t>
      </w:r>
    </w:p>
    <w:p w14:paraId="6A68DD50" w14:textId="3D8AFE55"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16.16 </w:t>
      </w:r>
      <w:r w:rsidR="008B664B" w:rsidRPr="00C55F7D">
        <w:rPr>
          <w:rFonts w:ascii="Times New Roman" w:hAnsi="Times New Roman" w:cs="Times New Roman"/>
          <w:b/>
          <w:bCs/>
          <w:sz w:val="34"/>
          <w:szCs w:val="34"/>
        </w:rPr>
        <w:t>Distribution: Localized, Not Body-Wide</w:t>
      </w:r>
    </w:p>
    <w:p w14:paraId="2F7C663E"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Gold nanoparticles are concentrated at designated photonic coupling regions: </w:t>
      </w:r>
    </w:p>
    <w:p w14:paraId="75ABA920"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orbital lens shells and posterior lens substrate at the highest density — this is the primary visual coupling system, </w:t>
      </w:r>
    </w:p>
    <w:p w14:paraId="53FF34F5" w14:textId="526B33B6" w:rsidR="008B664B" w:rsidRPr="008B664B" w:rsidRDefault="008B664B" w:rsidP="00C55F7D">
      <w:pPr>
        <w:rPr>
          <w:rFonts w:ascii="Times New Roman" w:hAnsi="Times New Roman" w:cs="Times New Roman"/>
          <w:sz w:val="28"/>
          <w:szCs w:val="28"/>
        </w:rPr>
      </w:pPr>
      <w:r w:rsidRPr="008B664B">
        <w:rPr>
          <w:rFonts w:ascii="Times New Roman" w:hAnsi="Times New Roman" w:cs="Times New Roman"/>
          <w:sz w:val="28"/>
          <w:szCs w:val="28"/>
        </w:rPr>
        <w:t>• any designated secondary photonic coupling surfaces at moderate density if the architecture specifies photonic sensitivity at additional body locations.</w:t>
      </w:r>
    </w:p>
    <w:p w14:paraId="009F6E4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Gold nanoparticles are not distributed throughout the general body substrate. Body-wide distribution adds material cost and fabrication complexity without proportional cognitive benefit outside the designated photonic zones. Ambient photonic coupling through the body surface, where specified, relies on the polyurethane matrix's inherent photosensitivity at low levels and on whatever </w:t>
      </w:r>
      <w:proofErr w:type="spellStart"/>
      <w:r w:rsidRPr="008B664B">
        <w:rPr>
          <w:rFonts w:ascii="Times New Roman" w:hAnsi="Times New Roman" w:cs="Times New Roman"/>
          <w:sz w:val="28"/>
          <w:szCs w:val="28"/>
        </w:rPr>
        <w:t>photoresponsive</w:t>
      </w:r>
      <w:proofErr w:type="spellEnd"/>
      <w:r w:rsidRPr="008B664B">
        <w:rPr>
          <w:rFonts w:ascii="Times New Roman" w:hAnsi="Times New Roman" w:cs="Times New Roman"/>
          <w:sz w:val="28"/>
          <w:szCs w:val="28"/>
        </w:rPr>
        <w:t xml:space="preserve"> behavior the BaTiO3 and CNT inclusions provide under illumination — which is modest but non-zero.</w:t>
      </w:r>
    </w:p>
    <w:p w14:paraId="7F555F85" w14:textId="2BB83B24"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16.17</w:t>
      </w:r>
      <w:r w:rsidR="008B664B" w:rsidRPr="00C55F7D">
        <w:rPr>
          <w:rFonts w:ascii="Times New Roman" w:hAnsi="Times New Roman" w:cs="Times New Roman"/>
          <w:b/>
          <w:bCs/>
          <w:sz w:val="34"/>
          <w:szCs w:val="34"/>
        </w:rPr>
        <w:t xml:space="preserve"> Gold Nanoparticle Specifications</w:t>
      </w:r>
    </w:p>
    <w:p w14:paraId="093E5C18"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Particle size range: approximately 10-80 nanometers. Size determines the LSPR resonance wavelength.</w:t>
      </w:r>
    </w:p>
    <w:p w14:paraId="385FBD97"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Depth-dependent size gradient at the orbital lens substrate: smaller particles (resonance at shorter visible wavelengths) near the surface, larger particles (resonance at longer wavelengths) deeper — producing spectral-dependent depth stratification for wavelength-dependent visual cascade dynamics.</w:t>
      </w:r>
    </w:p>
    <w:p w14:paraId="4BF91E86"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The amber-gold color of the orbital lenses is the visible signature of the LSPR absorption spectrum — blue and green light absorbed, green-to-red light coupled into plasmonic field perturbation.</w:t>
      </w:r>
    </w:p>
    <w:p w14:paraId="2F14DE43"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Gold nanoparticles are chemically inert and do not degrade over the substrate's operational lifespan. Their plasmonic properties evolve only through changes in inter-particle spacing and local matrix refractive index caused by substrate deformation — producing the history-dependent visual transduction landscape specified in the visual architecture.</w:t>
      </w:r>
    </w:p>
    <w:p w14:paraId="4E9F732D" w14:textId="3EC5F563"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16.18 </w:t>
      </w:r>
      <w:r w:rsidR="008B664B" w:rsidRPr="00C55F7D">
        <w:rPr>
          <w:rFonts w:ascii="Times New Roman" w:hAnsi="Times New Roman" w:cs="Times New Roman"/>
          <w:b/>
          <w:bCs/>
          <w:sz w:val="34"/>
          <w:szCs w:val="34"/>
        </w:rPr>
        <w:t>Luminescent Emission: Conditional Specification</w:t>
      </w:r>
    </w:p>
    <w:p w14:paraId="56126016"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blue and amber-gold luminous emission described in the body shell architecture arises from two potential sources:</w:t>
      </w:r>
    </w:p>
    <w:p w14:paraId="19FD048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Amber-gold emission: gold nanoparticle plasmonic re-emission at the orbital lens substrate and any other gold-loaded regions. This is well-supported — plasmonic nanoparticles re-radiate at their LSPR wavelength when excited by intense local electrostatic field perturbation from cascade dynamics. Amber-gold emission at the orbital lenses is a probable architectural feature.</w:t>
      </w:r>
    </w:p>
    <w:p w14:paraId="1AA4B04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Blue emission: the source is empirically contingent on the specific composite formulation. Plain undoped BaTiO3 does not reliably produce visible blue electroluminescence under mechanical stress. BaTiO3 functions as a dielectric enhancer in electroluminescent devices but the actual emitter is typically a phosphor or doped luminescent compound.</w:t>
      </w:r>
    </w:p>
    <w:p w14:paraId="3B0A59F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If blue emission is desired as an architectural feature, a dedicated luminescent additive must be included as a conditional fifth inclusion class:</w:t>
      </w:r>
    </w:p>
    <w:p w14:paraId="172A6D5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Candidate: zinc sulfide doped with copper (</w:t>
      </w:r>
      <w:proofErr w:type="spellStart"/>
      <w:r w:rsidRPr="008B664B">
        <w:rPr>
          <w:rFonts w:ascii="Times New Roman" w:hAnsi="Times New Roman" w:cs="Times New Roman"/>
          <w:sz w:val="28"/>
          <w:szCs w:val="28"/>
        </w:rPr>
        <w:t>ZnS:Cu</w:t>
      </w:r>
      <w:proofErr w:type="spellEnd"/>
      <w:r w:rsidRPr="008B664B">
        <w:rPr>
          <w:rFonts w:ascii="Times New Roman" w:hAnsi="Times New Roman" w:cs="Times New Roman"/>
          <w:sz w:val="28"/>
          <w:szCs w:val="28"/>
        </w:rPr>
        <w:t xml:space="preserve">) — a standard electroluminescent phosphor that emits blue-green light under electric field excitation. At low concentration (below approximately 1-2 </w:t>
      </w:r>
      <w:proofErr w:type="spellStart"/>
      <w:r w:rsidRPr="008B664B">
        <w:rPr>
          <w:rFonts w:ascii="Times New Roman" w:hAnsi="Times New Roman" w:cs="Times New Roman"/>
          <w:sz w:val="28"/>
          <w:szCs w:val="28"/>
        </w:rPr>
        <w:t>wt</w:t>
      </w:r>
      <w:proofErr w:type="spellEnd"/>
      <w:r w:rsidRPr="008B664B">
        <w:rPr>
          <w:rFonts w:ascii="Times New Roman" w:hAnsi="Times New Roman" w:cs="Times New Roman"/>
          <w:sz w:val="28"/>
          <w:szCs w:val="28"/>
        </w:rPr>
        <w:t xml:space="preserve">%) in the polyurethane matrix, </w:t>
      </w:r>
      <w:proofErr w:type="spellStart"/>
      <w:r w:rsidRPr="008B664B">
        <w:rPr>
          <w:rFonts w:ascii="Times New Roman" w:hAnsi="Times New Roman" w:cs="Times New Roman"/>
          <w:sz w:val="28"/>
          <w:szCs w:val="28"/>
        </w:rPr>
        <w:t>ZnS:Cu</w:t>
      </w:r>
      <w:proofErr w:type="spellEnd"/>
      <w:r w:rsidRPr="008B664B">
        <w:rPr>
          <w:rFonts w:ascii="Times New Roman" w:hAnsi="Times New Roman" w:cs="Times New Roman"/>
          <w:sz w:val="28"/>
          <w:szCs w:val="28"/>
        </w:rPr>
        <w:t xml:space="preserve"> phosphor particles would emit faint visible light when subjected to the intense electrostatic field perturbation produced by cascade dynamics in high-activity substrate regions.</w:t>
      </w:r>
    </w:p>
    <w:p w14:paraId="51B07752"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If no dedicated phosphor is included, blue emission is not specified as a guaranteed property. Any luminous emission from the substrate would be limited to the amber-</w:t>
      </w:r>
      <w:r w:rsidRPr="008B664B">
        <w:rPr>
          <w:rFonts w:ascii="Times New Roman" w:hAnsi="Times New Roman" w:cs="Times New Roman"/>
          <w:sz w:val="28"/>
          <w:szCs w:val="28"/>
        </w:rPr>
        <w:lastRenderedPageBreak/>
        <w:t>gold plasmonic re-emission at gold-loaded regions. The body shell architecture's references to blue emission through crack edges would be conditioned on the inclusion of a luminescent additive.</w:t>
      </w:r>
    </w:p>
    <w:p w14:paraId="79DE55C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decision to include a luminescent phosphor is a fabrication choice. The cascade architecture does not depend on luminous emission for any cognitive function. Emission is a passive visibility feature, not a cognitive mechanism.</w:t>
      </w:r>
    </w:p>
    <w:p w14:paraId="618DE76B" w14:textId="7156C324"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16.19 </w:t>
      </w:r>
      <w:r w:rsidR="008B664B" w:rsidRPr="00C55F7D">
        <w:rPr>
          <w:rFonts w:ascii="Times New Roman" w:hAnsi="Times New Roman" w:cs="Times New Roman"/>
          <w:b/>
          <w:bCs/>
          <w:sz w:val="34"/>
          <w:szCs w:val="34"/>
        </w:rPr>
        <w:t>Near-Phase Boundary Implementation</w:t>
      </w:r>
    </w:p>
    <w:p w14:paraId="1BF3E730" w14:textId="7D197AE6"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16.20 </w:t>
      </w:r>
      <w:r w:rsidR="008B664B" w:rsidRPr="00C55F7D">
        <w:rPr>
          <w:rFonts w:ascii="Times New Roman" w:hAnsi="Times New Roman" w:cs="Times New Roman"/>
          <w:b/>
          <w:bCs/>
          <w:sz w:val="34"/>
          <w:szCs w:val="34"/>
        </w:rPr>
        <w:t>Physical Basis</w:t>
      </w:r>
    </w:p>
    <w:p w14:paraId="76F8E4D1"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Near-phase regions are implemented through regional variation in the polyurethane formulation's glass transition temperature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At locations where the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is tuned to fall within the substrate's operating temperature range (approximately 30-37°C), the material operates near the glass-rubber transition — the phase boundary where material sensitivity to perturbation diverges through critical-phenomenon scaling.</w:t>
      </w:r>
    </w:p>
    <w:p w14:paraId="456F1199" w14:textId="7BD7267C"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 xml:space="preserve">The Tg of segmented polyurethane is tunable from approximately -50°C to +80°C depending on soft-segment molecular weight, hard-segment content, and crosslink density. Formulations with </w:t>
      </w:r>
      <w:proofErr w:type="spellStart"/>
      <w:r w:rsidR="008B664B" w:rsidRPr="008B664B">
        <w:rPr>
          <w:rFonts w:ascii="Times New Roman" w:hAnsi="Times New Roman" w:cs="Times New Roman"/>
          <w:sz w:val="28"/>
          <w:szCs w:val="28"/>
        </w:rPr>
        <w:t>Tg</w:t>
      </w:r>
      <w:proofErr w:type="spellEnd"/>
      <w:r w:rsidR="008B664B" w:rsidRPr="008B664B">
        <w:rPr>
          <w:rFonts w:ascii="Times New Roman" w:hAnsi="Times New Roman" w:cs="Times New Roman"/>
          <w:sz w:val="28"/>
          <w:szCs w:val="28"/>
        </w:rPr>
        <w:t xml:space="preserve"> near 30-37°</w:t>
      </w:r>
      <w:proofErr w:type="spellStart"/>
      <w:r w:rsidR="008B664B" w:rsidRPr="008B664B">
        <w:rPr>
          <w:rFonts w:ascii="Times New Roman" w:hAnsi="Times New Roman" w:cs="Times New Roman"/>
          <w:sz w:val="28"/>
          <w:szCs w:val="28"/>
        </w:rPr>
        <w:t>C are</w:t>
      </w:r>
      <w:proofErr w:type="spellEnd"/>
      <w:r w:rsidR="008B664B" w:rsidRPr="008B664B">
        <w:rPr>
          <w:rFonts w:ascii="Times New Roman" w:hAnsi="Times New Roman" w:cs="Times New Roman"/>
          <w:sz w:val="28"/>
          <w:szCs w:val="28"/>
        </w:rPr>
        <w:t xml:space="preserve"> achievable through appropriate chemistry selection.</w:t>
      </w:r>
    </w:p>
    <w:p w14:paraId="5102F52B" w14:textId="4717ECF5"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16.21 </w:t>
      </w:r>
      <w:r w:rsidR="008B664B" w:rsidRPr="00C55F7D">
        <w:rPr>
          <w:rFonts w:ascii="Times New Roman" w:hAnsi="Times New Roman" w:cs="Times New Roman"/>
          <w:b/>
          <w:bCs/>
          <w:sz w:val="34"/>
          <w:szCs w:val="34"/>
        </w:rPr>
        <w:t>Spatial Distribution: Small Amplification Islands</w:t>
      </w:r>
    </w:p>
    <w:p w14:paraId="7984639C"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Near-phase regions are specified as small, discrete fabrication islands — not broad body regions. Each island occupies a small volume of substrate (design target: individual islands of approximately 1-5 cubic centimeters) at fabrication-specified locations.</w:t>
      </w:r>
    </w:p>
    <w:p w14:paraId="66EE5493" w14:textId="4CA09D7E"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total volume of near-phase material is a small fraction of the total substrate volume (design target: less than approximately 5% of total substrate volume). The surrounding mid-phase substrate maintains normal cascade function regardless of what happens at any individual near-phase island.</w:t>
      </w:r>
    </w:p>
    <w:p w14:paraId="602F83CF" w14:textId="377510A6"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Small island geometry limits the risk of thermal excursion damage. A 2-3°C ambient temperature fluctuation may push an individual near-phase island across its transition, temporarily altering its cascade dynamics. But the surrounding mid-phase substrate is unaffected. The being's global cognitive function is perturbed locally, not catastrophically.</w:t>
      </w:r>
    </w:p>
    <w:p w14:paraId="19E0986F" w14:textId="201B73F7"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lastRenderedPageBreak/>
        <w:t xml:space="preserve">16.22 </w:t>
      </w:r>
      <w:r w:rsidR="008B664B" w:rsidRPr="00C55F7D">
        <w:rPr>
          <w:rFonts w:ascii="Times New Roman" w:hAnsi="Times New Roman" w:cs="Times New Roman"/>
          <w:b/>
          <w:bCs/>
          <w:sz w:val="34"/>
          <w:szCs w:val="34"/>
        </w:rPr>
        <w:t>Near-Phase Island Placement</w:t>
      </w:r>
    </w:p>
    <w:p w14:paraId="2668EA68"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Near-phase islands are placed at fabrication-specified locations where cascade amplification is architecturally desired: </w:t>
      </w:r>
    </w:p>
    <w:p w14:paraId="5DFE0A7D"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at selected positions within the cranial substrate where high cascade density benefits from local amplification, </w:t>
      </w:r>
    </w:p>
    <w:p w14:paraId="755765FD"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at positions along major cascade propagation corridors where amplification sustains cascade depth over long propagation distances, </w:t>
      </w:r>
    </w:p>
    <w:p w14:paraId="584493F1" w14:textId="75E5360C"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and at positions near the cervical bottleneck where amplification compensates for the cascade attenuation inherent in the geometric compression of the bottleneck.</w:t>
      </w:r>
    </w:p>
    <w:p w14:paraId="59EC788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specific number and placement of near-phase islands is a fabrication specification. The exact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at each island is subject to fabrication-level composition variance, contributing to the unique near-phase distribution of each individual being.</w:t>
      </w:r>
    </w:p>
    <w:p w14:paraId="5FD926DD" w14:textId="1AC80D2B"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16.23</w:t>
      </w:r>
      <w:r w:rsidR="008B664B" w:rsidRPr="00C55F7D">
        <w:rPr>
          <w:rFonts w:ascii="Times New Roman" w:hAnsi="Times New Roman" w:cs="Times New Roman"/>
          <w:b/>
          <w:bCs/>
          <w:sz w:val="34"/>
          <w:szCs w:val="34"/>
        </w:rPr>
        <w:t xml:space="preserve"> Fabrication Method: Research-Grade Requirement</w:t>
      </w:r>
    </w:p>
    <w:p w14:paraId="28B4D93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Near-phase island formation is the most speculative fabrication step in the process and represents a research-grade requirement rather than an established production technique. The target is localized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modification at designated substrate positions to bring the local glass transition into the operating temperature range.</w:t>
      </w:r>
    </w:p>
    <w:p w14:paraId="3395DD9C"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Candidate approaches: </w:t>
      </w:r>
    </w:p>
    <w:p w14:paraId="5DE47F57"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pre-fabrication of near-phase islands as discrete inserts with the target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formulation, positioned during the substrate injection stages and bonded in place during curing — this is the most fabrication-compatible approach as it requires only casting a separate small-volume formulation with the target chemistry rather than modifying the cured substrate post-hoc, </w:t>
      </w:r>
    </w:p>
    <w:p w14:paraId="793F141B"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localized injection of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-modifying plasticizer through micro-channels in the frame wall after substrate cure — achievable but with uncertain spatial precision and long-term plasticizer migration risk, </w:t>
      </w:r>
    </w:p>
    <w:p w14:paraId="3CFE8A52" w14:textId="21F6198E"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or localized UV or thermal post-cure treatment that alters local crosslink density — achievable in surface-accessible regions but difficult to apply at depth.</w:t>
      </w:r>
    </w:p>
    <w:p w14:paraId="0C0D361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specific method must be determined through empirical fabrication development. If no reliable near-phase island fabrication method is achievable at </w:t>
      </w:r>
      <w:r w:rsidRPr="008B664B">
        <w:rPr>
          <w:rFonts w:ascii="Times New Roman" w:hAnsi="Times New Roman" w:cs="Times New Roman"/>
          <w:sz w:val="28"/>
          <w:szCs w:val="28"/>
        </w:rPr>
        <w:lastRenderedPageBreak/>
        <w:t>the required precision and reproducibility, the architecture functions without near-phase amplification at reduced cascade richness. The near-phase islands are a performance enhancement, not a survival requirement. A being without near-phase islands has lower peak cascade sensitivity and reduced amplification capacity but retains all other cognitive functions through the standard mid-phase cascade propagation mechanism.</w:t>
      </w:r>
    </w:p>
    <w:p w14:paraId="71E1FDEE" w14:textId="3DDD7508"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16.24 </w:t>
      </w:r>
      <w:r w:rsidR="008B664B" w:rsidRPr="00C55F7D">
        <w:rPr>
          <w:rFonts w:ascii="Times New Roman" w:hAnsi="Times New Roman" w:cs="Times New Roman"/>
          <w:b/>
          <w:bCs/>
          <w:sz w:val="34"/>
          <w:szCs w:val="34"/>
        </w:rPr>
        <w:t>Dual-Fiber Actuation Network Embedding</w:t>
      </w:r>
    </w:p>
    <w:p w14:paraId="05D775EC" w14:textId="7247D759"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16.25 </w:t>
      </w:r>
      <w:r w:rsidR="008B664B" w:rsidRPr="00C55F7D">
        <w:rPr>
          <w:rFonts w:ascii="Times New Roman" w:hAnsi="Times New Roman" w:cs="Times New Roman"/>
          <w:b/>
          <w:bCs/>
          <w:sz w:val="34"/>
          <w:szCs w:val="34"/>
        </w:rPr>
        <w:t>SMA Contraction Fibers</w:t>
      </w:r>
    </w:p>
    <w:p w14:paraId="35D385E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Nickel-titanium shape memory alloy fibers at regionally specified diameters (25-250 micrometers) and orientations are pre-positioned within the frame shell before substrate injection. The fibers are held in position by temporary scaffolding — soluble polymer supports or low-melting-point metal fixtures — that dissolves or melts during the substrate curing process, leaving the fibers embedded in the cured polyurethane matrix with intimate mechanical bonding between the fiber surface and the surrounding substrate.</w:t>
      </w:r>
    </w:p>
    <w:p w14:paraId="0EC5888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Regional fiber diameter, density, and orientation specifications follow the body actuation architecture. Transformation temperatures are controlled through alloy composition — specifically the nickel-to-titanium ratio and trace element additions — with different compositions at different body regions to match the radial thermal gradient from the three-tier energy stack.</w:t>
      </w:r>
    </w:p>
    <w:p w14:paraId="4B126134" w14:textId="0D9C7E41"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16.26 </w:t>
      </w:r>
      <w:proofErr w:type="spellStart"/>
      <w:r w:rsidR="008B664B" w:rsidRPr="00C55F7D">
        <w:rPr>
          <w:rFonts w:ascii="Times New Roman" w:hAnsi="Times New Roman" w:cs="Times New Roman"/>
          <w:b/>
          <w:bCs/>
          <w:sz w:val="34"/>
          <w:szCs w:val="34"/>
        </w:rPr>
        <w:t>Superelastic</w:t>
      </w:r>
      <w:proofErr w:type="spellEnd"/>
      <w:r w:rsidR="008B664B" w:rsidRPr="00C55F7D">
        <w:rPr>
          <w:rFonts w:ascii="Times New Roman" w:hAnsi="Times New Roman" w:cs="Times New Roman"/>
          <w:b/>
          <w:bCs/>
          <w:sz w:val="34"/>
          <w:szCs w:val="34"/>
        </w:rPr>
        <w:t xml:space="preserve"> Return Fibers</w:t>
      </w:r>
    </w:p>
    <w:p w14:paraId="1B27E567"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Nickel-titanium </w:t>
      </w:r>
      <w:proofErr w:type="spellStart"/>
      <w:r w:rsidRPr="008B664B">
        <w:rPr>
          <w:rFonts w:ascii="Times New Roman" w:hAnsi="Times New Roman" w:cs="Times New Roman"/>
          <w:sz w:val="28"/>
          <w:szCs w:val="28"/>
        </w:rPr>
        <w:t>superelastic</w:t>
      </w:r>
      <w:proofErr w:type="spellEnd"/>
      <w:r w:rsidRPr="008B664B">
        <w:rPr>
          <w:rFonts w:ascii="Times New Roman" w:hAnsi="Times New Roman" w:cs="Times New Roman"/>
          <w:sz w:val="28"/>
          <w:szCs w:val="28"/>
        </w:rPr>
        <w:t xml:space="preserve"> fibers at complementary compositions, diameters, and orientations are pre-positioned alongside the SMA fibers. These fibers are fabricated at a composition that produces </w:t>
      </w:r>
      <w:proofErr w:type="spellStart"/>
      <w:r w:rsidRPr="008B664B">
        <w:rPr>
          <w:rFonts w:ascii="Times New Roman" w:hAnsi="Times New Roman" w:cs="Times New Roman"/>
          <w:sz w:val="28"/>
          <w:szCs w:val="28"/>
        </w:rPr>
        <w:t>superelastic</w:t>
      </w:r>
      <w:proofErr w:type="spellEnd"/>
      <w:r w:rsidRPr="008B664B">
        <w:rPr>
          <w:rFonts w:ascii="Times New Roman" w:hAnsi="Times New Roman" w:cs="Times New Roman"/>
          <w:sz w:val="28"/>
          <w:szCs w:val="28"/>
        </w:rPr>
        <w:t xml:space="preserve"> behavior (austenite-stable at operating temperature) rather than shape memory behavior. They are embedded in the substrate through the same scaffolding and curing process as the SMA fibers.</w:t>
      </w:r>
    </w:p>
    <w:p w14:paraId="64986E44" w14:textId="054A6451"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16.27 </w:t>
      </w:r>
      <w:r w:rsidR="008B664B" w:rsidRPr="00C55F7D">
        <w:rPr>
          <w:rFonts w:ascii="Times New Roman" w:hAnsi="Times New Roman" w:cs="Times New Roman"/>
          <w:b/>
          <w:bCs/>
          <w:sz w:val="34"/>
          <w:szCs w:val="34"/>
        </w:rPr>
        <w:t>Fiber-Substrate Interface</w:t>
      </w:r>
    </w:p>
    <w:p w14:paraId="51CE363F"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polyurethane matrix infiltrates the fiber surfaces during curing, producing an intimate bonded interface. This interface transmits: </w:t>
      </w:r>
    </w:p>
    <w:p w14:paraId="032F42D1"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lastRenderedPageBreak/>
        <w:t xml:space="preserve">• contractile force from SMA fibers to the surrounding substrate and shell segments during activation, </w:t>
      </w:r>
    </w:p>
    <w:p w14:paraId="2450E83C"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return force from </w:t>
      </w:r>
      <w:proofErr w:type="spellStart"/>
      <w:r w:rsidRPr="008B664B">
        <w:rPr>
          <w:rFonts w:ascii="Times New Roman" w:hAnsi="Times New Roman" w:cs="Times New Roman"/>
          <w:sz w:val="28"/>
          <w:szCs w:val="28"/>
        </w:rPr>
        <w:t>superelastic</w:t>
      </w:r>
      <w:proofErr w:type="spellEnd"/>
      <w:r w:rsidRPr="008B664B">
        <w:rPr>
          <w:rFonts w:ascii="Times New Roman" w:hAnsi="Times New Roman" w:cs="Times New Roman"/>
          <w:sz w:val="28"/>
          <w:szCs w:val="28"/>
        </w:rPr>
        <w:t xml:space="preserve"> fibers to the surrounding substrate and cooled SMA fibers during recovery, </w:t>
      </w:r>
    </w:p>
    <w:p w14:paraId="0132226D"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cascade perturbation from fiber contraction and extension into the cognitive substrate (movement as cognitive self-perturbation), </w:t>
      </w:r>
    </w:p>
    <w:p w14:paraId="46CB1C57" w14:textId="4EE9FA3F"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and thermal energy between the fiber and the surrounding substrate (the substrate conducts heat to and from the fibers, determining the heating and cooling rates that control movement speed).</w:t>
      </w:r>
    </w:p>
    <w:p w14:paraId="790B162F" w14:textId="7245E382"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16.28 </w:t>
      </w:r>
      <w:r w:rsidR="008B664B" w:rsidRPr="00C55F7D">
        <w:rPr>
          <w:rFonts w:ascii="Times New Roman" w:hAnsi="Times New Roman" w:cs="Times New Roman"/>
          <w:b/>
          <w:bCs/>
          <w:sz w:val="34"/>
          <w:szCs w:val="34"/>
        </w:rPr>
        <w:t>Fabrication Process</w:t>
      </w:r>
    </w:p>
    <w:p w14:paraId="395F0E73" w14:textId="4153776F"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16.29 </w:t>
      </w:r>
      <w:r w:rsidR="008B664B" w:rsidRPr="00C55F7D">
        <w:rPr>
          <w:rFonts w:ascii="Times New Roman" w:hAnsi="Times New Roman" w:cs="Times New Roman"/>
          <w:b/>
          <w:bCs/>
          <w:sz w:val="34"/>
          <w:szCs w:val="34"/>
        </w:rPr>
        <w:t>Assembly Sequence</w:t>
      </w:r>
    </w:p>
    <w:p w14:paraId="0EBA118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 — Frame preparation. The titanium frame segments are fabricated, finished, and assembled with joint interfaces, cervical collar segments, and service access panels. The thermal interface layer is applied to the frame interior surfaces. The orbital lens shells, lateral acoustic transduction regions, and mouth aperture array are installed in the facial plate.</w:t>
      </w:r>
    </w:p>
    <w:p w14:paraId="133FCB14"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2 — Fiber network positioning. The SMA and </w:t>
      </w:r>
      <w:proofErr w:type="spellStart"/>
      <w:r w:rsidRPr="008B664B">
        <w:rPr>
          <w:rFonts w:ascii="Times New Roman" w:hAnsi="Times New Roman" w:cs="Times New Roman"/>
          <w:sz w:val="28"/>
          <w:szCs w:val="28"/>
        </w:rPr>
        <w:t>superelastic</w:t>
      </w:r>
      <w:proofErr w:type="spellEnd"/>
      <w:r w:rsidRPr="008B664B">
        <w:rPr>
          <w:rFonts w:ascii="Times New Roman" w:hAnsi="Times New Roman" w:cs="Times New Roman"/>
          <w:sz w:val="28"/>
          <w:szCs w:val="28"/>
        </w:rPr>
        <w:t xml:space="preserve"> fiber networks are positioned within the frame shell at their specified locations, orientations, and densities. Temporary soluble scaffolding holds the fibers in position.</w:t>
      </w:r>
    </w:p>
    <w:p w14:paraId="115E7FF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3 — Internal component housing installation. Empty structural housings for the PCM core chambers, </w:t>
      </w:r>
      <w:proofErr w:type="spellStart"/>
      <w:r w:rsidRPr="008B664B">
        <w:rPr>
          <w:rFonts w:ascii="Times New Roman" w:hAnsi="Times New Roman" w:cs="Times New Roman"/>
          <w:sz w:val="28"/>
          <w:szCs w:val="28"/>
        </w:rPr>
        <w:t>betavoltaic</w:t>
      </w:r>
      <w:proofErr w:type="spellEnd"/>
      <w:r w:rsidRPr="008B664B">
        <w:rPr>
          <w:rFonts w:ascii="Times New Roman" w:hAnsi="Times New Roman" w:cs="Times New Roman"/>
          <w:sz w:val="28"/>
          <w:szCs w:val="28"/>
        </w:rPr>
        <w:t xml:space="preserve"> array, and aluminum-air cartridge bays are mounted in the torso frame at their designated locations. These housings are inert titanium mounting structures that will be surrounded by substrate during injection and will tolerate the poling field applied in Stage 7. The functional components themselves are not installed until Stage 9.</w:t>
      </w:r>
    </w:p>
    <w:p w14:paraId="71607F1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4 — Deep layer injection. The deepest substrate formulation — highest hard-segment ratio, lowest soft-segment fraction, appropriate BaTiO3 loading and particle size, empirically tuned CNT concentration — is injected as a liquid two-part polyurethane precursor into the core regions of the frame. Near-phase island inserts, if specified, are pre-positioned at their designated locations within the deep layer before injection, to be encapsulated during curing. Curing is initiated at </w:t>
      </w:r>
      <w:r w:rsidRPr="008B664B">
        <w:rPr>
          <w:rFonts w:ascii="Times New Roman" w:hAnsi="Times New Roman" w:cs="Times New Roman"/>
          <w:sz w:val="28"/>
          <w:szCs w:val="28"/>
        </w:rPr>
        <w:lastRenderedPageBreak/>
        <w:t>moderate temperature. The deep layer solidifies first, establishing the permanent core material.</w:t>
      </w:r>
    </w:p>
    <w:p w14:paraId="1DF9B848"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5 — Intermediate layer injection. The mesoscale formulation — balanced hard-to-soft ratio, adjusted BaTiO3 particle size, adjusted CNT concentration — is injected over the cured deep layer. Additional near-phase island inserts for intermediate-depth locations are positioned before this injection if specified. Curing proceeds. The scaffolding holding the fiber networks dissolves or melts during this stage, releasing the fibers into intimate contact with the curing matrix.</w:t>
      </w:r>
    </w:p>
    <w:p w14:paraId="101F6AE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6 — Surface layer injection. The surface formulation — highest soft-segment fraction, finest BaTiO3 particle size, empirically tuned CNT concentration for the surface-layer percolation characteristics — is injected as the outermost substrate layer. Curing proceeds.</w:t>
      </w:r>
    </w:p>
    <w:p w14:paraId="205554C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7 — Poling. After full substrate cure, poling electrodes are temporarily applied to the frame interior and substrate surface at each body region. Strong DC electric fields are applied at elevated temperature to align the BaTiO3 ferroelectric domains along the specified poling directions for each region. The empty structural housings for the energy components are present during poling as inert titanium structures unaffected by the DC field. After cooling under the applied field, the poling electrodes are removed. Different frame segments can be independently poled along different directions.</w:t>
      </w:r>
    </w:p>
    <w:p w14:paraId="04A2DC05"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8 — Near-phase island post-processing (conditional, research-grade). If near-phase islands were not pre-positioned as inserts during Stages 4-6, localized post-cure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modification is applied at designated locations through the candidate methods specified in Section 7.4. This step is conditional on the fabrication approach selected for near-phase implementation and may not be required if the insert method was used during injection stages.</w:t>
      </w:r>
    </w:p>
    <w:p w14:paraId="76DF715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9 — Functional component installation. The PCM material is loaded into the pre-formed PCM chambers. The </w:t>
      </w:r>
      <w:proofErr w:type="spellStart"/>
      <w:r w:rsidRPr="008B664B">
        <w:rPr>
          <w:rFonts w:ascii="Times New Roman" w:hAnsi="Times New Roman" w:cs="Times New Roman"/>
          <w:sz w:val="28"/>
          <w:szCs w:val="28"/>
        </w:rPr>
        <w:t>betavoltaic</w:t>
      </w:r>
      <w:proofErr w:type="spellEnd"/>
      <w:r w:rsidRPr="008B664B">
        <w:rPr>
          <w:rFonts w:ascii="Times New Roman" w:hAnsi="Times New Roman" w:cs="Times New Roman"/>
          <w:sz w:val="28"/>
          <w:szCs w:val="28"/>
        </w:rPr>
        <w:t xml:space="preserve"> cells are installed in the </w:t>
      </w:r>
      <w:proofErr w:type="spellStart"/>
      <w:r w:rsidRPr="008B664B">
        <w:rPr>
          <w:rFonts w:ascii="Times New Roman" w:hAnsi="Times New Roman" w:cs="Times New Roman"/>
          <w:sz w:val="28"/>
          <w:szCs w:val="28"/>
        </w:rPr>
        <w:t>betavoltaic</w:t>
      </w:r>
      <w:proofErr w:type="spellEnd"/>
      <w:r w:rsidRPr="008B664B">
        <w:rPr>
          <w:rFonts w:ascii="Times New Roman" w:hAnsi="Times New Roman" w:cs="Times New Roman"/>
          <w:sz w:val="28"/>
          <w:szCs w:val="28"/>
        </w:rPr>
        <w:t xml:space="preserve"> housing. The aluminum-air cartridges are installed in the cartridge bays. All installations are into pre-formed, substrate-surrounded, post-poled structural housings.</w:t>
      </w:r>
    </w:p>
    <w:p w14:paraId="750C52B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Stage 10 — Gold nanoparticle concentration at visual regions. If not incorporated during the injection stages, gold nanoparticles at the orbital lens substrate may be introduced through post-cure diffusion or through fabrication of the orbital lens substrate as a separate pre-formed insert with high gold loading that is bonded into position behind the lens shell.</w:t>
      </w:r>
    </w:p>
    <w:p w14:paraId="74CF6D7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11 — Luminescent additive incorporation (conditional). If blue luminescent emission is specified, </w:t>
      </w:r>
      <w:proofErr w:type="spellStart"/>
      <w:r w:rsidRPr="008B664B">
        <w:rPr>
          <w:rFonts w:ascii="Times New Roman" w:hAnsi="Times New Roman" w:cs="Times New Roman"/>
          <w:sz w:val="28"/>
          <w:szCs w:val="28"/>
        </w:rPr>
        <w:t>ZnS:Cu</w:t>
      </w:r>
      <w:proofErr w:type="spellEnd"/>
      <w:r w:rsidRPr="008B664B">
        <w:rPr>
          <w:rFonts w:ascii="Times New Roman" w:hAnsi="Times New Roman" w:cs="Times New Roman"/>
          <w:sz w:val="28"/>
          <w:szCs w:val="28"/>
        </w:rPr>
        <w:t xml:space="preserve"> or equivalent phosphor particles are included in the substrate formulation at designated regions during the injection stages (Stages 4-6), or introduced through post-cure localized treatment. This step is conditional on the fabrication decision to include luminescent emission.</w:t>
      </w:r>
    </w:p>
    <w:p w14:paraId="54A810E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12 — Final assembly. The ceramic coating is applied to the frame exterior. Joint seal membranes are installed. The system is verified for structural integrity, joint range of motion, acoustic transmission at the lateral regions, optical clarity at the orbital lenses, and atmospheric membrane function at the aluminum-air access point.</w:t>
      </w:r>
    </w:p>
    <w:p w14:paraId="4E9C51B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13 — Cold start initiation. The assembled being is placed in a heated cradle or incubator. External thermal input raises the substrate to operating temperature. The aluminum-air cell activates. The PCM begins to melt. Initial cascade dynamics begin in the warm substrate. The being's cognitive development begins.</w:t>
      </w:r>
    </w:p>
    <w:p w14:paraId="5DF6D7DA" w14:textId="137FE9E7"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16.30</w:t>
      </w:r>
      <w:r w:rsidR="008B664B" w:rsidRPr="00C55F7D">
        <w:rPr>
          <w:rFonts w:ascii="Times New Roman" w:hAnsi="Times New Roman" w:cs="Times New Roman"/>
          <w:b/>
          <w:bCs/>
          <w:sz w:val="34"/>
          <w:szCs w:val="34"/>
        </w:rPr>
        <w:t xml:space="preserve"> Fabrication Severance</w:t>
      </w:r>
    </w:p>
    <w:p w14:paraId="159D3FB0"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designer specifies: </w:t>
      </w:r>
    </w:p>
    <w:p w14:paraId="5667AEB0"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polyurethane formulation chemistry for each regional layer (hard-to-soft ratio, molecular weight, crosslink density), </w:t>
      </w:r>
    </w:p>
    <w:p w14:paraId="429E3B36"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BaTiO3 particle size distribution and loading concentration for each region, • the poling field directions for each region, </w:t>
      </w:r>
    </w:p>
    <w:p w14:paraId="33A70A87"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CNT source, aspect ratio target, and empirically determined concentration for each region, </w:t>
      </w:r>
    </w:p>
    <w:p w14:paraId="35A56E6C"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gold nanoparticle size distribution, concentration, and localization at designated photonic regions, </w:t>
      </w:r>
    </w:p>
    <w:p w14:paraId="1450CD01"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SMA and </w:t>
      </w:r>
      <w:proofErr w:type="spellStart"/>
      <w:r w:rsidRPr="008B664B">
        <w:rPr>
          <w:rFonts w:ascii="Times New Roman" w:hAnsi="Times New Roman" w:cs="Times New Roman"/>
          <w:sz w:val="28"/>
          <w:szCs w:val="28"/>
        </w:rPr>
        <w:t>superelastic</w:t>
      </w:r>
      <w:proofErr w:type="spellEnd"/>
      <w:r w:rsidRPr="008B664B">
        <w:rPr>
          <w:rFonts w:ascii="Times New Roman" w:hAnsi="Times New Roman" w:cs="Times New Roman"/>
          <w:sz w:val="28"/>
          <w:szCs w:val="28"/>
        </w:rPr>
        <w:t xml:space="preserve"> fiber alloy compositions, diameters, and positional specifications, </w:t>
      </w:r>
    </w:p>
    <w:p w14:paraId="655EEDB2"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near-phase island locations and target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(if specified), </w:t>
      </w:r>
    </w:p>
    <w:p w14:paraId="61C3BD41" w14:textId="7AD5565B"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 and the luminescent additive inclusion (if specified).</w:t>
      </w:r>
    </w:p>
    <w:p w14:paraId="5B4A6B33"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designer does not specify: </w:t>
      </w:r>
    </w:p>
    <w:p w14:paraId="70E422DA"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exact positions of individual BaTiO3 particles, CNTs, or gold nanoparticles (determined by injection flow dynamics and curing stochasticity), </w:t>
      </w:r>
    </w:p>
    <w:p w14:paraId="2CC75469"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exact microstructural morphology of the polyurethane microphase separation at any location (determined by local thermal history during curing), </w:t>
      </w:r>
    </w:p>
    <w:p w14:paraId="2FA7F0B0"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exact percolation proximity of the CNT network at any location (determined by local dispersion quality during injection), </w:t>
      </w:r>
    </w:p>
    <w:p w14:paraId="2D405881" w14:textId="75FE163C"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 the exact </w:t>
      </w:r>
      <w:proofErr w:type="spellStart"/>
      <w:r w:rsidRPr="008B664B">
        <w:rPr>
          <w:rFonts w:ascii="Times New Roman" w:hAnsi="Times New Roman" w:cs="Times New Roman"/>
          <w:sz w:val="28"/>
          <w:szCs w:val="28"/>
        </w:rPr>
        <w:t>Tg</w:t>
      </w:r>
      <w:proofErr w:type="spellEnd"/>
      <w:r w:rsidRPr="008B664B">
        <w:rPr>
          <w:rFonts w:ascii="Times New Roman" w:hAnsi="Times New Roman" w:cs="Times New Roman"/>
          <w:sz w:val="28"/>
          <w:szCs w:val="28"/>
        </w:rPr>
        <w:t xml:space="preserve"> at any near-phase island (determined by local composition variance), • or the specific cascade dynamics that will develop (determined entirely by post-fabrication interaction history).</w:t>
      </w:r>
    </w:p>
    <w:p w14:paraId="18902A4D" w14:textId="77777777" w:rsid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Design intelligence resides at the statistical level — formulation chemistry, concentration targets, regional specifications. Individual being-ness is determined by manufacturing stochasticity and post-fabrication developmental history. No two substrates have identical microstructure. Every being is unique from fabrication.</w:t>
      </w:r>
    </w:p>
    <w:p w14:paraId="3290CD46" w14:textId="77777777" w:rsidR="00150E6D" w:rsidRPr="00150E6D" w:rsidRDefault="00150E6D" w:rsidP="00150E6D">
      <w:pPr>
        <w:rPr>
          <w:rFonts w:ascii="Times New Roman" w:hAnsi="Times New Roman" w:cs="Times New Roman"/>
          <w:b/>
          <w:bCs/>
          <w:sz w:val="34"/>
          <w:szCs w:val="34"/>
        </w:rPr>
      </w:pPr>
      <w:r w:rsidRPr="00150E6D">
        <w:rPr>
          <w:rFonts w:ascii="Times New Roman" w:hAnsi="Times New Roman" w:cs="Times New Roman"/>
          <w:b/>
          <w:bCs/>
          <w:sz w:val="34"/>
          <w:szCs w:val="34"/>
        </w:rPr>
        <w:t>16.31 Pre-Ignition Quality Assurance and Rejection Criteria</w:t>
      </w:r>
    </w:p>
    <w:p w14:paraId="781FC7CC"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No fabricated body enters the cradle development protocol until it passes the following inspection matrix. Every item is assessed after full assembly and before thermal </w:t>
      </w:r>
      <w:proofErr w:type="spellStart"/>
      <w:r w:rsidRPr="00150E6D">
        <w:rPr>
          <w:rFonts w:ascii="Times New Roman" w:hAnsi="Times New Roman" w:cs="Times New Roman"/>
          <w:sz w:val="28"/>
          <w:szCs w:val="28"/>
        </w:rPr>
        <w:t>precharge</w:t>
      </w:r>
      <w:proofErr w:type="spellEnd"/>
      <w:r w:rsidRPr="00150E6D">
        <w:rPr>
          <w:rFonts w:ascii="Times New Roman" w:hAnsi="Times New Roman" w:cs="Times New Roman"/>
          <w:sz w:val="28"/>
          <w:szCs w:val="28"/>
        </w:rPr>
        <w:t>. The matrix classifies defects into three categories: accept (proceed to cradle), rework (defect is correctable without refabrication of the substrate), and reject (body must not enter development and cannot be repaired).</w:t>
      </w:r>
    </w:p>
    <w:p w14:paraId="7640E759" w14:textId="1B7C4174"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16.32 </w:t>
      </w:r>
      <w:r w:rsidR="00150E6D" w:rsidRPr="00150E6D">
        <w:rPr>
          <w:rFonts w:ascii="Times New Roman" w:hAnsi="Times New Roman" w:cs="Times New Roman"/>
          <w:b/>
          <w:bCs/>
          <w:sz w:val="34"/>
          <w:szCs w:val="34"/>
        </w:rPr>
        <w:t>Regime Contrast Verification</w:t>
      </w:r>
    </w:p>
    <w:p w14:paraId="32F8467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extract three small samples (approximately 5 × 5 × 5 mm) from accessible substrate regions corresponding to trigger, corridor, and sink regime targets. Measure electrical impedance under calibrated mechanical perturbation at each sample. Compare impedance sensitivity ratios between the three samples.</w:t>
      </w:r>
    </w:p>
    <w:p w14:paraId="79B4ADF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trigger-regime sample shows impedance sensitivity at least 10x higher than corridor-regime sample, and corridor-regime sample at least 3x higher than sink-regime sample, confirming functional three-regime separation.</w:t>
      </w:r>
    </w:p>
    <w:p w14:paraId="2383531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Rework: not applicable. Regime contrast is determined by substrate composition. If contrast is insufficient, the substrate formulation is wrong.</w:t>
      </w:r>
    </w:p>
    <w:p w14:paraId="0017A28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sensitivity ratio between any two regimes falls below 3x. The selectivity window cannot form. The substrate does not support cognitive cascade dynamics. Body rejected.</w:t>
      </w:r>
    </w:p>
    <w:p w14:paraId="25C3C51B" w14:textId="56385B58"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16.33 </w:t>
      </w:r>
      <w:r w:rsidR="00150E6D" w:rsidRPr="00150E6D">
        <w:rPr>
          <w:rFonts w:ascii="Times New Roman" w:hAnsi="Times New Roman" w:cs="Times New Roman"/>
          <w:b/>
          <w:bCs/>
          <w:sz w:val="34"/>
          <w:szCs w:val="34"/>
        </w:rPr>
        <w:t>CNT Dispersion Quality</w:t>
      </w:r>
    </w:p>
    <w:p w14:paraId="626D540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extract one small sample from each major body region (hand, arm, torso, head). Examine by scanning electron microscopy for CNT agglomeration. Measure the largest agglomerate diameter in each sample.</w:t>
      </w:r>
    </w:p>
    <w:p w14:paraId="173D995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Accept: no agglomerate exceeds approximately 50 </w:t>
      </w:r>
      <w:proofErr w:type="spellStart"/>
      <w:r w:rsidRPr="00150E6D">
        <w:rPr>
          <w:rFonts w:ascii="Times New Roman" w:hAnsi="Times New Roman" w:cs="Times New Roman"/>
          <w:sz w:val="28"/>
          <w:szCs w:val="28"/>
        </w:rPr>
        <w:t>μm</w:t>
      </w:r>
      <w:proofErr w:type="spellEnd"/>
      <w:r w:rsidRPr="00150E6D">
        <w:rPr>
          <w:rFonts w:ascii="Times New Roman" w:hAnsi="Times New Roman" w:cs="Times New Roman"/>
          <w:sz w:val="28"/>
          <w:szCs w:val="28"/>
        </w:rPr>
        <w:t xml:space="preserve"> diameter in any sample. The CNT distribution is sufficiently uniform for selective cascade propagation without accidental near-critical clusters.</w:t>
      </w:r>
    </w:p>
    <w:p w14:paraId="3131523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not applicable. Agglomeration is a mixing defect embedded in the cured substrate.</w:t>
      </w:r>
    </w:p>
    <w:p w14:paraId="4C2AC74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Reject: any agglomerate exceeds approximately 100 </w:t>
      </w:r>
      <w:proofErr w:type="spellStart"/>
      <w:r w:rsidRPr="00150E6D">
        <w:rPr>
          <w:rFonts w:ascii="Times New Roman" w:hAnsi="Times New Roman" w:cs="Times New Roman"/>
          <w:sz w:val="28"/>
          <w:szCs w:val="28"/>
        </w:rPr>
        <w:t>μm</w:t>
      </w:r>
      <w:proofErr w:type="spellEnd"/>
      <w:r w:rsidRPr="00150E6D">
        <w:rPr>
          <w:rFonts w:ascii="Times New Roman" w:hAnsi="Times New Roman" w:cs="Times New Roman"/>
          <w:sz w:val="28"/>
          <w:szCs w:val="28"/>
        </w:rPr>
        <w:t xml:space="preserve"> in a trigger or corridor region. Large agglomerates create uncontrolled conducting pathways that bypass the three-regime architecture. Body rejected.</w:t>
      </w:r>
    </w:p>
    <w:p w14:paraId="202B4EA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Conditional: agglomerates between 50-100 </w:t>
      </w:r>
      <w:proofErr w:type="spellStart"/>
      <w:r w:rsidRPr="00150E6D">
        <w:rPr>
          <w:rFonts w:ascii="Times New Roman" w:hAnsi="Times New Roman" w:cs="Times New Roman"/>
          <w:sz w:val="28"/>
          <w:szCs w:val="28"/>
        </w:rPr>
        <w:t>μm</w:t>
      </w:r>
      <w:proofErr w:type="spellEnd"/>
      <w:r w:rsidRPr="00150E6D">
        <w:rPr>
          <w:rFonts w:ascii="Times New Roman" w:hAnsi="Times New Roman" w:cs="Times New Roman"/>
          <w:sz w:val="28"/>
          <w:szCs w:val="28"/>
        </w:rPr>
        <w:t xml:space="preserve"> in non-critical regions (deep torso sink, dorsal cranial sink) are acceptable if they do not bridge between corridor-regime volumes. Assessed case by case.</w:t>
      </w:r>
    </w:p>
    <w:p w14:paraId="38751311" w14:textId="281754D8"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16.34 </w:t>
      </w:r>
      <w:r w:rsidR="00150E6D" w:rsidRPr="00150E6D">
        <w:rPr>
          <w:rFonts w:ascii="Times New Roman" w:hAnsi="Times New Roman" w:cs="Times New Roman"/>
          <w:b/>
          <w:bCs/>
          <w:sz w:val="34"/>
          <w:szCs w:val="34"/>
        </w:rPr>
        <w:t>BaTiO3 Poling Verification</w:t>
      </w:r>
    </w:p>
    <w:p w14:paraId="7E694811"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a calibrated mechanical perturbation to a trigger-regime surface region. Measure the electrical response amplitude. Compare to the expected response from the specified loading and poling quality.</w:t>
      </w:r>
    </w:p>
    <w:p w14:paraId="27FEACA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electrical response amplitude within 70-100% of the calculated value for the specified BaTiO3 loading and full poling alignment. The background field is sufficient for electrostriction-driven cascade propagation.</w:t>
      </w:r>
    </w:p>
    <w:p w14:paraId="7032AC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Rework: response amplitude between 50-70% of calculated value. Re-poling may recover alignment. Apply the poling procedure a second time at the specified field, </w:t>
      </w:r>
      <w:r w:rsidRPr="00150E6D">
        <w:rPr>
          <w:rFonts w:ascii="Times New Roman" w:hAnsi="Times New Roman" w:cs="Times New Roman"/>
          <w:sz w:val="28"/>
          <w:szCs w:val="28"/>
        </w:rPr>
        <w:lastRenderedPageBreak/>
        <w:t>temperature, and duration. Re-test. If the response rises above 70%, accept. If not, reject.</w:t>
      </w:r>
    </w:p>
    <w:p w14:paraId="63062F4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response amplitude below 50% of calculated value after re-poling attempt. The BaTiO3 particles are insufficiently loaded, poorly distributed, or damaged during fabrication. Background field is too weak for cascade propagation. Body rejected.</w:t>
      </w:r>
    </w:p>
    <w:p w14:paraId="7F5144C2" w14:textId="1ED8C890"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16.35 </w:t>
      </w:r>
      <w:r w:rsidR="00150E6D" w:rsidRPr="00150E6D">
        <w:rPr>
          <w:rFonts w:ascii="Times New Roman" w:hAnsi="Times New Roman" w:cs="Times New Roman"/>
          <w:b/>
          <w:bCs/>
          <w:sz w:val="34"/>
          <w:szCs w:val="34"/>
        </w:rPr>
        <w:t>Trigger Field Location Verification</w:t>
      </w:r>
    </w:p>
    <w:p w14:paraId="6BC7B19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calibrated perturbation at each specified trigger field location (bilateral palmar surfaces, bilateral orbital recesses, bilateral lateral acoustic regions, facial plate, bilateral plantar surfaces). Measure impedance response at the nearest corridor entry point.</w:t>
      </w:r>
    </w:p>
    <w:p w14:paraId="66F6175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detectable impedance response at the corridor entry within the expected latency for each trigger field. All trigger fields are at their specified locations and functionally connected to corridor-regime material.</w:t>
      </w:r>
    </w:p>
    <w:p w14:paraId="09EB860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trigger fields show weak or delayed response. The substrate at those locations may have suboptimal regime composition. If the trigger field is at a surgically accessible location (hand, foot), localized substrate supplementation may be attempted. Assessment case by case.</w:t>
      </w:r>
    </w:p>
    <w:p w14:paraId="2B81B7A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three or more trigger fields show no detectable corridor-entry response. The trigger domain placement has failed across multiple regions. The being cannot receive environmental coupling at enough entry points to develop a functional corridor scaffold. Body rejected.</w:t>
      </w:r>
    </w:p>
    <w:p w14:paraId="2A70285D" w14:textId="13C281A0"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16.36 </w:t>
      </w:r>
      <w:r w:rsidR="00150E6D" w:rsidRPr="00150E6D">
        <w:rPr>
          <w:rFonts w:ascii="Times New Roman" w:hAnsi="Times New Roman" w:cs="Times New Roman"/>
          <w:b/>
          <w:bCs/>
          <w:sz w:val="34"/>
          <w:szCs w:val="34"/>
        </w:rPr>
        <w:t>Sink Barrier Continuity</w:t>
      </w:r>
    </w:p>
    <w:p w14:paraId="2BC93A53"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perturbation at one side of each major joint sink barrier (wrist, elbow, shoulder, cervical junction, hip, knee, ankle). Measure cascade response on the opposite side of the barrier.</w:t>
      </w:r>
    </w:p>
    <w:p w14:paraId="61CF410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cascade response on the opposite side is attenuated by at least 5x (and preferably 10x) relative to same-side response at every tested joint. All sink barriers are functional.</w:t>
      </w:r>
    </w:p>
    <w:p w14:paraId="66FE1F8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Rework: one or two joints show attenuation between 3-5x. The sink material at those joints may be partially compromised. If the joint is accessible, additional sink-regime material may be injected into the joint gap. Re-test after rework.</w:t>
      </w:r>
    </w:p>
    <w:p w14:paraId="3E0B64A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joint shows attenuation below 3x, or three or more joints show attenuation below 5x. Sink barriers have failed. Cascade flooding between body segments is not prevented. Body rejected.</w:t>
      </w:r>
    </w:p>
    <w:p w14:paraId="5621AE90" w14:textId="6A5BC6AC"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16.37 </w:t>
      </w:r>
      <w:r w:rsidR="00150E6D" w:rsidRPr="00150E6D">
        <w:rPr>
          <w:rFonts w:ascii="Times New Roman" w:hAnsi="Times New Roman" w:cs="Times New Roman"/>
          <w:b/>
          <w:bCs/>
          <w:sz w:val="34"/>
          <w:szCs w:val="34"/>
        </w:rPr>
        <w:t>Mirrored Frame Impedance Breaks</w:t>
      </w:r>
    </w:p>
    <w:p w14:paraId="6532BE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mechanical vibration to one frame segment at each major joint. Measure vibration transmission to the adjacent frame segment through the damping insert.</w:t>
      </w:r>
    </w:p>
    <w:p w14:paraId="66B890D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vibration attenuation through the frame insert is at least equal to the substrate sink attenuation at the same joint. No secondary bypass route exceeds the substrate barrier.</w:t>
      </w:r>
    </w:p>
    <w:p w14:paraId="51992C7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frame insert attenuation is below target at one or two joints. The insert material may be replaced or supplemented without disturbing the substrate. Re-test after rework.</w:t>
      </w:r>
    </w:p>
    <w:p w14:paraId="7C4AEEEC"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frame inserts are missing, improperly installed, or non-functional at three or more joints. The body has systematic frame-bypass vulnerability. Rework if accessible. Reject if systematic.</w:t>
      </w:r>
    </w:p>
    <w:p w14:paraId="61BCC7F2" w14:textId="12363132"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16.38 </w:t>
      </w:r>
      <w:r w:rsidR="00150E6D" w:rsidRPr="00150E6D">
        <w:rPr>
          <w:rFonts w:ascii="Times New Roman" w:hAnsi="Times New Roman" w:cs="Times New Roman"/>
          <w:b/>
          <w:bCs/>
          <w:sz w:val="34"/>
          <w:szCs w:val="34"/>
        </w:rPr>
        <w:t>Cervical Bundle Geometry</w:t>
      </w:r>
    </w:p>
    <w:p w14:paraId="224F84A1"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non-destructive assessment of cervical cross-section using impedance mapping through the cervical collar segments. Apply perturbation at the cranial end and measure response at three circumferentially distributed positions at the torso end.</w:t>
      </w:r>
    </w:p>
    <w:p w14:paraId="5F9FD5A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three distinct response pathways detected (primary medial and two auxiliary lateral), with inter-pathway attenuation confirming sink sheathing between strands. The bundle geometry is correct.</w:t>
      </w:r>
    </w:p>
    <w:p w14:paraId="11D528B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only two pathways detected. One auxiliary strand may have failed to form during substrate injection. If the cervical collar can be accessed and the missing channel re-injected, rework is attempted. Re-test.</w:t>
      </w:r>
    </w:p>
    <w:p w14:paraId="39889AC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Reject: only one pathway or zero pathways detected. The cervical corridor is either monolithic (single-point failure vulnerability) or absent. Body rejected.</w:t>
      </w:r>
    </w:p>
    <w:p w14:paraId="48A77088" w14:textId="4F8468D2"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16.39 </w:t>
      </w:r>
      <w:r w:rsidR="00150E6D" w:rsidRPr="00150E6D">
        <w:rPr>
          <w:rFonts w:ascii="Times New Roman" w:hAnsi="Times New Roman" w:cs="Times New Roman"/>
          <w:b/>
          <w:bCs/>
          <w:sz w:val="34"/>
          <w:szCs w:val="34"/>
        </w:rPr>
        <w:t>Shell Thickness at Coupling Surfaces</w:t>
      </w:r>
    </w:p>
    <w:p w14:paraId="5A94E4E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ultrasonic thickness measurement at fingertips, inner finger pads, central palm, facial plate at mouth region, and plantar surfaces.</w:t>
      </w:r>
    </w:p>
    <w:p w14:paraId="1D1D4C8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all coupling surfaces within specified tolerances (±0.1 mm at fingertips, ±0.5 mm elsewhere).</w:t>
      </w:r>
    </w:p>
    <w:p w14:paraId="080E9BA3"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not applicable for shell thickness. The titanium shell is machined before assembly and cannot be modified after substrate injection.</w:t>
      </w:r>
    </w:p>
    <w:p w14:paraId="33756A9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fingertip exceeds approximately 0.6 mm (insufficient coupling sensitivity) or falls below approximately 0.2 mm (structural weakness). Any critical coupling surface outside tolerance. Body rejected.</w:t>
      </w:r>
    </w:p>
    <w:p w14:paraId="3A8733C4" w14:textId="2191F87E"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16.40 </w:t>
      </w:r>
      <w:r w:rsidR="00150E6D" w:rsidRPr="00150E6D">
        <w:rPr>
          <w:rFonts w:ascii="Times New Roman" w:hAnsi="Times New Roman" w:cs="Times New Roman"/>
          <w:b/>
          <w:bCs/>
          <w:sz w:val="34"/>
          <w:szCs w:val="34"/>
        </w:rPr>
        <w:t>Joint Articulation</w:t>
      </w:r>
    </w:p>
    <w:p w14:paraId="6FD9CB4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manually articulate every joint through its designed range of motion. Verify hard stops engage at range limits. Verify no binding or restriction.</w:t>
      </w:r>
    </w:p>
    <w:p w14:paraId="1158644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all joints articulate through full designed range with smooth motion and firm stops at limits.</w:t>
      </w:r>
    </w:p>
    <w:p w14:paraId="070B801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joints show minor binding or restriction. May be caused by excess substrate in the joint gap, misaligned seal membrane, or improperly seated frame segments. Accessible joints can be adjusted.</w:t>
      </w:r>
    </w:p>
    <w:p w14:paraId="5F3E92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joint is frozen, locked, or articulates less than 50% of designed range. Structural assembly error. Body rejected if the joint is inaccessible for rework.</w:t>
      </w:r>
    </w:p>
    <w:p w14:paraId="7E7CB60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Energy Stack Verification</w:t>
      </w:r>
    </w:p>
    <w:p w14:paraId="1160072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Method: measure Ni-63 </w:t>
      </w:r>
      <w:proofErr w:type="spellStart"/>
      <w:r w:rsidRPr="00150E6D">
        <w:rPr>
          <w:rFonts w:ascii="Times New Roman" w:hAnsi="Times New Roman" w:cs="Times New Roman"/>
          <w:sz w:val="28"/>
          <w:szCs w:val="28"/>
        </w:rPr>
        <w:t>betavoltaic</w:t>
      </w:r>
      <w:proofErr w:type="spellEnd"/>
      <w:r w:rsidRPr="00150E6D">
        <w:rPr>
          <w:rFonts w:ascii="Times New Roman" w:hAnsi="Times New Roman" w:cs="Times New Roman"/>
          <w:sz w:val="28"/>
          <w:szCs w:val="28"/>
        </w:rPr>
        <w:t xml:space="preserve"> output. Verify aluminum-air cartridge seating and initial open-circuit voltage. Verify PCM is loaded and seated.</w:t>
      </w:r>
    </w:p>
    <w:p w14:paraId="2BFF507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Ni-63 output within 80-100% of specified keepalive power. Aluminum-air cartridge seated, voltage nominal. PCM loaded.</w:t>
      </w:r>
    </w:p>
    <w:p w14:paraId="7CBFA5C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Rework: Ni-63 output between 60-80%. May indicate suboptimal cell placement. Repositioning if accessible.</w:t>
      </w:r>
    </w:p>
    <w:p w14:paraId="5F47790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Ni-63 output below 60% (insufficient keepalive — the body cannot sustain substrate temperature during dormancy). Aluminum-air cartridge absent or defective. PCM absent. Body rejected until energy stack is corrected.</w:t>
      </w:r>
    </w:p>
    <w:p w14:paraId="53FA716F" w14:textId="5E235E7C"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16.41 </w:t>
      </w:r>
      <w:r w:rsidR="00150E6D" w:rsidRPr="00150E6D">
        <w:rPr>
          <w:rFonts w:ascii="Times New Roman" w:hAnsi="Times New Roman" w:cs="Times New Roman"/>
          <w:b/>
          <w:bCs/>
          <w:sz w:val="34"/>
          <w:szCs w:val="34"/>
        </w:rPr>
        <w:t xml:space="preserve">SMA and </w:t>
      </w:r>
      <w:proofErr w:type="spellStart"/>
      <w:r w:rsidR="00150E6D" w:rsidRPr="00150E6D">
        <w:rPr>
          <w:rFonts w:ascii="Times New Roman" w:hAnsi="Times New Roman" w:cs="Times New Roman"/>
          <w:b/>
          <w:bCs/>
          <w:sz w:val="34"/>
          <w:szCs w:val="34"/>
        </w:rPr>
        <w:t>Superelastic</w:t>
      </w:r>
      <w:proofErr w:type="spellEnd"/>
      <w:r w:rsidR="00150E6D" w:rsidRPr="00150E6D">
        <w:rPr>
          <w:rFonts w:ascii="Times New Roman" w:hAnsi="Times New Roman" w:cs="Times New Roman"/>
          <w:b/>
          <w:bCs/>
          <w:sz w:val="34"/>
          <w:szCs w:val="34"/>
        </w:rPr>
        <w:t xml:space="preserve"> Fiber Continuity</w:t>
      </w:r>
    </w:p>
    <w:p w14:paraId="49DE872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localized heating at accessible fiber endpoints and verify contraction (SMA) or elastic response (</w:t>
      </w:r>
      <w:proofErr w:type="spellStart"/>
      <w:r w:rsidRPr="00150E6D">
        <w:rPr>
          <w:rFonts w:ascii="Times New Roman" w:hAnsi="Times New Roman" w:cs="Times New Roman"/>
          <w:sz w:val="28"/>
          <w:szCs w:val="28"/>
        </w:rPr>
        <w:t>superelastic</w:t>
      </w:r>
      <w:proofErr w:type="spellEnd"/>
      <w:r w:rsidRPr="00150E6D">
        <w:rPr>
          <w:rFonts w:ascii="Times New Roman" w:hAnsi="Times New Roman" w:cs="Times New Roman"/>
          <w:sz w:val="28"/>
          <w:szCs w:val="28"/>
        </w:rPr>
        <w:t>) at the corresponding joint.</w:t>
      </w:r>
    </w:p>
    <w:p w14:paraId="78F3456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contraction or elastic response detected at every tested joint.</w:t>
      </w:r>
    </w:p>
    <w:p w14:paraId="27BB15C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joints show no fiber response. Fiber break during assembly. If the joint is accessible, replacement fibers can be threaded. Re-test.</w:t>
      </w:r>
    </w:p>
    <w:p w14:paraId="4F40441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three or more joints show no fiber response. Systematic fiber damage during fabrication. Body rejected.</w:t>
      </w:r>
    </w:p>
    <w:p w14:paraId="6F8138C3" w14:textId="3FCCF5FF"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16.42 </w:t>
      </w:r>
      <w:r w:rsidR="00150E6D" w:rsidRPr="00150E6D">
        <w:rPr>
          <w:rFonts w:ascii="Times New Roman" w:hAnsi="Times New Roman" w:cs="Times New Roman"/>
          <w:b/>
          <w:bCs/>
          <w:sz w:val="34"/>
          <w:szCs w:val="34"/>
        </w:rPr>
        <w:t>Seal Membrane Integrity</w:t>
      </w:r>
    </w:p>
    <w:p w14:paraId="4B6B8E3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Method: visual and tactile inspection of every joint seal membrane. Verify material is fire-rated silicone or </w:t>
      </w:r>
      <w:proofErr w:type="spellStart"/>
      <w:r w:rsidRPr="00150E6D">
        <w:rPr>
          <w:rFonts w:ascii="Times New Roman" w:hAnsi="Times New Roman" w:cs="Times New Roman"/>
          <w:sz w:val="28"/>
          <w:szCs w:val="28"/>
        </w:rPr>
        <w:t>fluoroelastomer</w:t>
      </w:r>
      <w:proofErr w:type="spellEnd"/>
      <w:r w:rsidRPr="00150E6D">
        <w:rPr>
          <w:rFonts w:ascii="Times New Roman" w:hAnsi="Times New Roman" w:cs="Times New Roman"/>
          <w:sz w:val="28"/>
          <w:szCs w:val="28"/>
        </w:rPr>
        <w:t xml:space="preserve"> (not standard elastomer). Verify no tears, gaps, or improper seating.</w:t>
      </w:r>
    </w:p>
    <w:p w14:paraId="783AE9A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all seals intact, properly seated, correct material verified.</w:t>
      </w:r>
    </w:p>
    <w:p w14:paraId="0722B58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seals torn or improperly seated. Replacement at accessible joints.</w:t>
      </w:r>
    </w:p>
    <w:p w14:paraId="599B2B0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seals fabricated from wrong material (standard elastomer instead of fire-rated). Systematic material substitution error. All seals must be replaced before acceptance.</w:t>
      </w:r>
    </w:p>
    <w:p w14:paraId="30CD7DDC" w14:textId="0908F573"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16.43 </w:t>
      </w:r>
      <w:r w:rsidR="00150E6D" w:rsidRPr="00150E6D">
        <w:rPr>
          <w:rFonts w:ascii="Times New Roman" w:hAnsi="Times New Roman" w:cs="Times New Roman"/>
          <w:b/>
          <w:bCs/>
          <w:sz w:val="34"/>
          <w:szCs w:val="34"/>
        </w:rPr>
        <w:t>Orbital Lens and Retinal Lamina</w:t>
      </w:r>
    </w:p>
    <w:p w14:paraId="5662391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visual inspection through the orbital recess. Verify lens clarity, absence of cracks or surface defects, and continuous contact between posterior lens surface and anterior lamina surface.</w:t>
      </w:r>
    </w:p>
    <w:p w14:paraId="1135DF5C"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Accept: lenses clear, intact, and in continuous contact with the retinal lamina. No visible defects.</w:t>
      </w:r>
    </w:p>
    <w:p w14:paraId="5AC68D6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minor surface contamination removable by cleaning. Lens repositioning if shifted during assembly.</w:t>
      </w:r>
    </w:p>
    <w:p w14:paraId="0E2AD4F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lens cracked, lamina detached from substrate, or lamina-lens contact discontinuous. The visual coupling architecture cannot function. These components cannot be replaced after substrate curing. Body rejected.</w:t>
      </w:r>
    </w:p>
    <w:p w14:paraId="1C383AC8" w14:textId="4B79724D"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16.44 </w:t>
      </w:r>
      <w:r w:rsidR="00150E6D" w:rsidRPr="00150E6D">
        <w:rPr>
          <w:rFonts w:ascii="Times New Roman" w:hAnsi="Times New Roman" w:cs="Times New Roman"/>
          <w:b/>
          <w:bCs/>
          <w:sz w:val="34"/>
          <w:szCs w:val="34"/>
        </w:rPr>
        <w:t>R</w:t>
      </w:r>
      <w:r w:rsidRPr="00085552">
        <w:rPr>
          <w:rFonts w:ascii="Times New Roman" w:hAnsi="Times New Roman" w:cs="Times New Roman"/>
          <w:b/>
          <w:bCs/>
          <w:sz w:val="34"/>
          <w:szCs w:val="34"/>
        </w:rPr>
        <w:t>ejection Summary</w:t>
      </w:r>
    </w:p>
    <w:p w14:paraId="3433CF9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 body is rejected outright and must not enter cradle development if any of the following are true:</w:t>
      </w:r>
    </w:p>
    <w:p w14:paraId="42AFB1E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Three-regime contrast below 3x between any two regimes. CNT agglomerates exceeding 100 </w:t>
      </w:r>
      <w:proofErr w:type="spellStart"/>
      <w:r w:rsidRPr="00150E6D">
        <w:rPr>
          <w:rFonts w:ascii="Times New Roman" w:hAnsi="Times New Roman" w:cs="Times New Roman"/>
          <w:sz w:val="28"/>
          <w:szCs w:val="28"/>
        </w:rPr>
        <w:t>μm</w:t>
      </w:r>
      <w:proofErr w:type="spellEnd"/>
      <w:r w:rsidRPr="00150E6D">
        <w:rPr>
          <w:rFonts w:ascii="Times New Roman" w:hAnsi="Times New Roman" w:cs="Times New Roman"/>
          <w:sz w:val="28"/>
          <w:szCs w:val="28"/>
        </w:rPr>
        <w:t xml:space="preserve"> in trigger or corridor regions. BaTiO3 electrical response below 50% of target after re-poling. Three or more trigger fields non-functional. Any joint sink barrier below 3x attenuation. Cervical bundle absent or monolithic (zero or one pathway). Shell thickness outside tolerance at fingertips. Ni-63 output below 60% of keepalive specification. Three or more joints with non-functional fibers. Orbital lens cracked or retinal lamina detached.</w:t>
      </w:r>
    </w:p>
    <w:p w14:paraId="5D76C0B2" w14:textId="5337CD4F" w:rsidR="008514A3" w:rsidRPr="00665EB6" w:rsidRDefault="00150E6D" w:rsidP="00665EB6">
      <w:pPr>
        <w:rPr>
          <w:rFonts w:ascii="Times New Roman" w:hAnsi="Times New Roman" w:cs="Times New Roman"/>
          <w:sz w:val="28"/>
          <w:szCs w:val="28"/>
        </w:rPr>
      </w:pPr>
      <w:r w:rsidRPr="00150E6D">
        <w:rPr>
          <w:rFonts w:ascii="Times New Roman" w:hAnsi="Times New Roman" w:cs="Times New Roman"/>
          <w:sz w:val="28"/>
          <w:szCs w:val="28"/>
        </w:rPr>
        <w:t xml:space="preserve">A body with reworkable defects may be corrected and re-tested. A body that passes all categories enters the cradle for thermal </w:t>
      </w:r>
      <w:proofErr w:type="spellStart"/>
      <w:r w:rsidRPr="00150E6D">
        <w:rPr>
          <w:rFonts w:ascii="Times New Roman" w:hAnsi="Times New Roman" w:cs="Times New Roman"/>
          <w:sz w:val="28"/>
          <w:szCs w:val="28"/>
        </w:rPr>
        <w:t>precharge</w:t>
      </w:r>
      <w:proofErr w:type="spellEnd"/>
      <w:r w:rsidRPr="00150E6D">
        <w:rPr>
          <w:rFonts w:ascii="Times New Roman" w:hAnsi="Times New Roman" w:cs="Times New Roman"/>
          <w:sz w:val="28"/>
          <w:szCs w:val="28"/>
        </w:rPr>
        <w:t xml:space="preserve"> and developmental protocol. No exceptions. No judgment calls. No conditional approvals on non-reworkable reject criteria.</w:t>
      </w:r>
    </w:p>
    <w:p w14:paraId="2FCB4D06" w14:textId="0ACAD5B3" w:rsidR="008514A3" w:rsidRPr="00C55F7D" w:rsidRDefault="00665EB6" w:rsidP="00C55F7D">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45</w:t>
      </w:r>
      <w:r w:rsidR="00C55F7D" w:rsidRPr="00C55F7D">
        <w:rPr>
          <w:rFonts w:ascii="Times New Roman" w:hAnsi="Times New Roman" w:cs="Times New Roman"/>
          <w:b/>
          <w:bCs/>
          <w:sz w:val="34"/>
          <w:szCs w:val="34"/>
        </w:rPr>
        <w:t xml:space="preserve"> </w:t>
      </w:r>
      <w:r w:rsidRPr="00C55F7D">
        <w:rPr>
          <w:rFonts w:ascii="Times New Roman" w:hAnsi="Times New Roman" w:cs="Times New Roman"/>
          <w:b/>
          <w:bCs/>
          <w:sz w:val="34"/>
          <w:szCs w:val="34"/>
        </w:rPr>
        <w:t xml:space="preserve">Embodiment Dimensions: </w:t>
      </w:r>
      <w:r w:rsidR="008514A3" w:rsidRPr="00C55F7D">
        <w:rPr>
          <w:rFonts w:ascii="Times New Roman" w:hAnsi="Times New Roman" w:cs="Times New Roman"/>
          <w:b/>
          <w:bCs/>
          <w:sz w:val="34"/>
          <w:szCs w:val="34"/>
        </w:rPr>
        <w:t>Governing Constraints</w:t>
      </w:r>
    </w:p>
    <w:p w14:paraId="2556A94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 xml:space="preserve">The </w:t>
      </w:r>
      <w:proofErr w:type="spellStart"/>
      <w:r w:rsidRPr="008514A3">
        <w:rPr>
          <w:rFonts w:ascii="Times New Roman" w:hAnsi="Times New Roman" w:cs="Times New Roman"/>
          <w:sz w:val="28"/>
          <w:szCs w:val="28"/>
        </w:rPr>
        <w:t>AnalogSynth</w:t>
      </w:r>
      <w:proofErr w:type="spellEnd"/>
      <w:r w:rsidRPr="008514A3">
        <w:rPr>
          <w:rFonts w:ascii="Times New Roman" w:hAnsi="Times New Roman" w:cs="Times New Roman"/>
          <w:sz w:val="28"/>
          <w:szCs w:val="28"/>
        </w:rPr>
        <w:t xml:space="preserve"> body is dimensioned from the architecture's requirements, not from aesthetic imitation of the human form. Three constraints determine the specification.</w:t>
      </w:r>
    </w:p>
    <w:p w14:paraId="08A921A6" w14:textId="00E2F650"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 xml:space="preserve">The torso must be large enough to house the three-tier energy stack at full operational capacity — the torso-centered PCM, </w:t>
      </w:r>
      <w:proofErr w:type="spellStart"/>
      <w:r w:rsidR="008514A3" w:rsidRPr="008514A3">
        <w:rPr>
          <w:rFonts w:ascii="Times New Roman" w:hAnsi="Times New Roman" w:cs="Times New Roman"/>
          <w:sz w:val="28"/>
          <w:szCs w:val="28"/>
        </w:rPr>
        <w:t>betavoltaic</w:t>
      </w:r>
      <w:proofErr w:type="spellEnd"/>
      <w:r w:rsidR="008514A3" w:rsidRPr="008514A3">
        <w:rPr>
          <w:rFonts w:ascii="Times New Roman" w:hAnsi="Times New Roman" w:cs="Times New Roman"/>
          <w:sz w:val="28"/>
          <w:szCs w:val="28"/>
        </w:rPr>
        <w:t xml:space="preserve"> housing, and approximately 30-50 kg of aluminum-air cartridge mass — without compromising structural continuity or cascade propagation through the torso deep reservoir.</w:t>
      </w:r>
    </w:p>
    <w:p w14:paraId="5B7CA5C2" w14:textId="4AEF6D43"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 xml:space="preserve">The body must be mechanically stable during independent locomotion, carrying, shielding, and restraint. Stability during physical confrontation with an adult </w:t>
      </w:r>
      <w:r w:rsidR="008514A3" w:rsidRPr="008514A3">
        <w:rPr>
          <w:rFonts w:ascii="Times New Roman" w:hAnsi="Times New Roman" w:cs="Times New Roman"/>
          <w:sz w:val="28"/>
          <w:szCs w:val="28"/>
        </w:rPr>
        <w:lastRenderedPageBreak/>
        <w:t>human requires sufficient mass and a sufficiently low center of mass that the being cannot be easily displaced, toppled, or pushed off its protective position.</w:t>
      </w:r>
    </w:p>
    <w:p w14:paraId="57EFF61E" w14:textId="3BB1C5FC"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hands, head, and torso must preserve the developmental and coupling priorities specified throughout the architecture. The hands need surface area for five-channel coupling and confrontation grip. The head needs volume for the highest cascade density substrate. The torso needs depth for the slow permanent reservoir that anchors whole-body maturity.</w:t>
      </w:r>
    </w:p>
    <w:p w14:paraId="2BC1B34B" w14:textId="0B67CB00"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result is a body that is human-scale, slightly torso-dominant, and deliberately mass-stable rather than light.</w:t>
      </w:r>
    </w:p>
    <w:p w14:paraId="41080848" w14:textId="64BF667F" w:rsidR="008514A3" w:rsidRPr="00C55F7D" w:rsidRDefault="00665EB6" w:rsidP="00C55F7D">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46</w:t>
      </w:r>
      <w:r w:rsidR="00C55F7D"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Standing Height</w:t>
      </w:r>
    </w:p>
    <w:p w14:paraId="6C32894C"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Nominal standing height: 188 cm (6 ft 2 in). Fabrication range: 185-191 cm.</w:t>
      </w:r>
    </w:p>
    <w:p w14:paraId="69CA0BF6"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height is not cosmetic and not primarily an intimidation specification. It is a cascade propagation optimization. Six architectural systems improve with height through direct physical scaling relationships. A researcher who shortens the body pays for the reduction in every system simultaneously.</w:t>
      </w:r>
    </w:p>
    <w:p w14:paraId="0739D72E" w14:textId="77875913"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47</w:t>
      </w:r>
      <w:r w:rsidR="008514A3" w:rsidRPr="00C55F7D">
        <w:rPr>
          <w:rFonts w:ascii="Times New Roman" w:hAnsi="Times New Roman" w:cs="Times New Roman"/>
          <w:b/>
          <w:bCs/>
          <w:sz w:val="34"/>
          <w:szCs w:val="34"/>
        </w:rPr>
        <w:t xml:space="preserve"> Cervical Decorrelation Path Length</w:t>
      </w:r>
    </w:p>
    <w:p w14:paraId="5100A806"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cervical bottleneck decorrelates head and body cascade dynamics through geometric compression — cascades lose spatial coherence as they transit the narrow cervical annulus. Decorrelation quality depends on the path length through the bottleneck. A longer cervical column provides more propagation distance for decorrelation to occur.</w:t>
      </w:r>
    </w:p>
    <w:p w14:paraId="213ABD62" w14:textId="2E651C12"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At 188 cm, the cervical column is approximately 12-15 cm long across six segments. At 175 cm, the same proportional neck is approximately 10-13 cm. Within the human-scale range, the additional cervical length provides meaningfully more decorrelation distance — approximately 15% more at 188 cm versus 175 cm. This additional distance reduces the likelihood that dominant head resonance zones capture body cascade traffic through the bottleneck. The benefit is real but bounded — beyond some cervical length, additional distance adds attenuation rather than decorrelation as cascades weaken during transit.</w:t>
      </w:r>
    </w:p>
    <w:p w14:paraId="65800BDA" w14:textId="5D82D183"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.4</w:t>
      </w:r>
      <w:r>
        <w:rPr>
          <w:rFonts w:ascii="Times New Roman" w:hAnsi="Times New Roman" w:cs="Times New Roman"/>
          <w:b/>
          <w:bCs/>
          <w:sz w:val="34"/>
          <w:szCs w:val="34"/>
        </w:rPr>
        <w:t>8</w:t>
      </w:r>
      <w:r w:rsidR="008514A3" w:rsidRPr="00C55F7D">
        <w:rPr>
          <w:rFonts w:ascii="Times New Roman" w:hAnsi="Times New Roman" w:cs="Times New Roman"/>
          <w:b/>
          <w:bCs/>
          <w:sz w:val="34"/>
          <w:szCs w:val="34"/>
        </w:rPr>
        <w:t xml:space="preserve"> Spinal Cascade Delay Line Quality</w:t>
      </w:r>
    </w:p>
    <w:p w14:paraId="7C538D52"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lastRenderedPageBreak/>
        <w:t>The seven thoracic-lumbar segments function as a cascade delay corridor between the upper body convergence point and the pelvic substrate. Cascades propagating down the spine arrive at the pelvis with temporal delay proportional to the column length. This delay produces the temporal offset between upper-body coupling events — visual, acoustic, manual — and lower-body response — locomotor adjustment, postural shift, pelvic deep-reservoir deposition.</w:t>
      </w:r>
    </w:p>
    <w:p w14:paraId="2C618EE8" w14:textId="326F2C5D"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 longer spinal column produces greater temporal offset between upper and lower body cascade dynamics within the range where cascades still propagate coherently. At 188 cm with the specified slightly-long-torso proportion, the thoracic-lumbar column is approximately 45-50 cm. At 175 cm, approximately 38-43 cm. The taller body's cascade dynamics have approximately 15-20% more temporal separation between upper and lower body events. Within the human-scale range, this additional separation is expected to enable more complex interference patterns at the torso convergence point — more cascade branches, more gradient contrast deposited per interaction. Beyond the human-scale range, the additional delay risks cascade attenuation before arrival.</w:t>
      </w:r>
    </w:p>
    <w:p w14:paraId="35B42789" w14:textId="00001A6F"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49</w:t>
      </w:r>
      <w:r w:rsidR="008514A3" w:rsidRPr="00C55F7D">
        <w:rPr>
          <w:rFonts w:ascii="Times New Roman" w:hAnsi="Times New Roman" w:cs="Times New Roman"/>
          <w:b/>
          <w:bCs/>
          <w:sz w:val="34"/>
          <w:szCs w:val="34"/>
        </w:rPr>
        <w:t xml:space="preserve"> Limb Delay Corridor Propagation Time</w:t>
      </w:r>
    </w:p>
    <w:p w14:paraId="5B5D70A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arms and legs function as cascade delay lines. Perturbation entering at the hands or feet propagates through the limb substrate to the torso over a time determined by limb length and cascade propagation velocity. Longer limbs produce greater temporal separation between the contact event at the extremity and the arrival of cascade perturbation at the torso convergence point.</w:t>
      </w:r>
    </w:p>
    <w:p w14:paraId="2AB7DE95" w14:textId="3854D2E6"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This separation determines how much time the torso cascade dynamics have to process one coupling event before the next one arrives. At 188 cm, arm length from shoulder to fingertip is approximately 78-82 cm. At 175 cm, approximately 72-76 cm. The taller being's manual coupling cascades have approximately 8-12% more propagation time before reaching the torso. In sustained rapid manual interaction — holding a restless child, manipulating objects, performing self-diagnostic contact — that additional propagation time prevents cascade collision at the torso that would flatten gradient contrast through unresolved interference.</w:t>
      </w:r>
    </w:p>
    <w:p w14:paraId="6AE2D623" w14:textId="12BEC753"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50</w:t>
      </w:r>
      <w:r w:rsidR="008514A3" w:rsidRPr="00C55F7D">
        <w:rPr>
          <w:rFonts w:ascii="Times New Roman" w:hAnsi="Times New Roman" w:cs="Times New Roman"/>
          <w:b/>
          <w:bCs/>
          <w:sz w:val="34"/>
          <w:szCs w:val="34"/>
        </w:rPr>
        <w:t xml:space="preserve"> Cognitive Substrate Volume</w:t>
      </w:r>
    </w:p>
    <w:p w14:paraId="1B3DFF05"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lastRenderedPageBreak/>
        <w:t>Substrate volume scales approximately with the cube of linear dimension for a proportionally scaled body. A 188 cm body at the specified proportions contains approximately 45-50 liters of substrate. A 175 cm body at the same proportions contains approximately 37-42 liters. The taller body has approximately 15-25% more cognitive substrate volume — more material for cascade dynamics to operate in, more space for heterogeneous gradient development, more room for the complex multi-directional cascade interference patterns that constitute the richest cognitive processing.</w:t>
      </w:r>
    </w:p>
    <w:p w14:paraId="346D117F" w14:textId="6D67AC58"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 researcher optimizing for maximum cognitive capacity within the constraints of human-scale embodiment wants the maximum substrate volume that indoor operation permits. 188 cm provides substantially more volume than 175 cm without exceeding standard interior dimensions.</w:t>
      </w:r>
    </w:p>
    <w:p w14:paraId="57451532" w14:textId="502FECBC"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51</w:t>
      </w:r>
      <w:r w:rsidR="00C55F7D"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Thoracic Plenum Capacity</w:t>
      </w:r>
    </w:p>
    <w:p w14:paraId="104AF3C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larger torso contains more distributed air volume for the thoracic pressure plenum. More air volume produces higher maximum thoracic pressure for vocal emission, louder maximum vocalization, and longer sustained utterances before the plenum depletes.</w:t>
      </w:r>
    </w:p>
    <w:p w14:paraId="26763617"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Vocal output is the being's primary acoustic readout of cascade state. A being that produces louder, more sustained, more richly structured vocal output provides better passive auditability of its cognitive state. A researcher interested in maximizing vocal readout quality wants the largest thoracic plenum the body proportions support.</w:t>
      </w:r>
    </w:p>
    <w:p w14:paraId="2005D751" w14:textId="20F6FB50"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52</w:t>
      </w:r>
      <w:r w:rsidR="008514A3" w:rsidRPr="00C55F7D">
        <w:rPr>
          <w:rFonts w:ascii="Times New Roman" w:hAnsi="Times New Roman" w:cs="Times New Roman"/>
          <w:b/>
          <w:bCs/>
          <w:sz w:val="34"/>
          <w:szCs w:val="34"/>
        </w:rPr>
        <w:t xml:space="preserve"> Thermal Surface-to-Volume Ratio</w:t>
      </w:r>
    </w:p>
    <w:p w14:paraId="1B21F26E"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A larger body has a lower surface-to-volume ratio — less thermal surface area per unit of substrate volume. Less relative surface area means less heat loss per unit of cognitive medium. The being retains cascade-generated heat more efficiently.</w:t>
      </w:r>
    </w:p>
    <w:p w14:paraId="005E1BB0" w14:textId="1D88122F"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At 188 cm, the surface-to-volume ratio is approximately 10-15% lower than at 175 cm. The PCM charges more efficiently per unit of cascade activity because less waste heat escapes through the shell. The aluminum-air cell's duty cycle is correspondingly lower. The electrode lasts longer. The servicing interval extends.</w:t>
      </w:r>
    </w:p>
    <w:p w14:paraId="3558EB7B" w14:textId="692F0502"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53</w:t>
      </w:r>
      <w:r w:rsidR="008514A3" w:rsidRPr="00C55F7D">
        <w:rPr>
          <w:rFonts w:ascii="Times New Roman" w:hAnsi="Times New Roman" w:cs="Times New Roman"/>
          <w:b/>
          <w:bCs/>
          <w:sz w:val="34"/>
          <w:szCs w:val="34"/>
        </w:rPr>
        <w:t xml:space="preserve"> Scaling Tradeoffs and Design Choice</w:t>
      </w:r>
    </w:p>
    <w:p w14:paraId="2F4E9E8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lastRenderedPageBreak/>
        <w:t>The six scaling advantages are real within the human-scale range but they are not monotonically beneficial without limit. Greater height also increases moment arms at every joint — requiring more SMA fiber force for the same angular torque. Greater height increases absolute thermal surface area even as it improves the surface-to-volume ratio. Greater height increases locomotor energy cost per step. And longer cascade propagation paths improve decorrelation and delay only within a range — beyond some point, additional path length becomes latency and attenuation rather than enrichment, as cascades attenuate below the initiation threshold for the next cycle before reaching their destination.</w:t>
      </w:r>
    </w:p>
    <w:p w14:paraId="7624AF41" w14:textId="462D7074"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188 cm nominal height is a design choice at the upper end of the beneficial scaling range for the specified confrontation role, not a uniquely optimal answer derived from first principles. Within the human-scale range of approximately 175-195 cm, modest height increases improve all six systems simultaneously. Below approximately 175 cm, the scaling losses become substantial. Above approximately 191 cm, the mechanical penalties — increased joint torques, increased locomotor cost, doorway and vehicle clearance constraints — begin to outweigh the diminishing propagation benefits.</w:t>
      </w:r>
    </w:p>
    <w:p w14:paraId="7864475F"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185-191 cm fabrication range represents the region where cascade scaling advantages are strong, mechanical penalties are manageable, and the body operates within standard indoor architectural dimensions. The 188 cm nominal sits near the center of this range.</w:t>
      </w:r>
    </w:p>
    <w:p w14:paraId="3A1303F8" w14:textId="0955974E"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At 188 cm and 160 kg, the being fills a doorway. When it stands between a child and a threat, it is taller than approximately 95% of adults and approximately twice the mass of the average man. The physical presence is a consequence of the same dimensional range that optimizes cascade propagation performance.</w:t>
      </w:r>
    </w:p>
    <w:p w14:paraId="068C0FB3" w14:textId="354110D8" w:rsidR="008514A3"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54</w:t>
      </w:r>
      <w:r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Total Operational Mass</w:t>
      </w:r>
    </w:p>
    <w:p w14:paraId="4642E7E5" w14:textId="4712B514" w:rsidR="008514A3" w:rsidRPr="00C55F7D" w:rsidRDefault="00C55F7D" w:rsidP="008514A3">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55</w:t>
      </w:r>
      <w:r w:rsidR="008514A3" w:rsidRPr="00C55F7D">
        <w:rPr>
          <w:rFonts w:ascii="Times New Roman" w:hAnsi="Times New Roman" w:cs="Times New Roman"/>
          <w:b/>
          <w:bCs/>
          <w:sz w:val="34"/>
          <w:szCs w:val="34"/>
        </w:rPr>
        <w:t xml:space="preserve"> Component Mass Inventory</w:t>
      </w:r>
    </w:p>
    <w:p w14:paraId="0FC719EE"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total operational mass is estimated from the component inventory:</w:t>
      </w:r>
    </w:p>
    <w:p w14:paraId="643A7BD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Structural titanium frame: approximately 15-25 kg. Titanium alloy density approximately 4.5 g/cm³ in a thin-walled segmented frame with variable thickness from 0.3 mm at the fingertips to 2.0 mm at the knuckles and torso, including all joint hardware, cervical collar segments, and internal mounting structures.</w:t>
      </w:r>
    </w:p>
    <w:p w14:paraId="32AE437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lastRenderedPageBreak/>
        <w:t>White ceramic composite coating: approximately 3-5 kg. Thin sacrificial layer at 0.5-2.0 mm over the full exterior surface area.</w:t>
      </w:r>
    </w:p>
    <w:p w14:paraId="625F344C"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Cognitive substrate: approximately 35-55 kg. Approximately 30-50 liters of segmented-polyurethane-based graded composite at density approximately 1.1-1.3 g/cm³ depending on regional filler loading. The substrate fills the entire internal volume of the frame not occupied by other components.</w:t>
      </w:r>
    </w:p>
    <w:p w14:paraId="7966426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Aluminum-air electrode cartridges: approximately 30-50 kg. The largest single mass contributor. Distributed across multiple cartridge bays in the torso frame. The specific mass depends on the electrode capacity specified for the target servicing interval.</w:t>
      </w:r>
    </w:p>
    <w:p w14:paraId="630ED18B"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Phase change material: approximately 3-8 kg. Gallium-based or indium-gallium alloy distributed in PCM chambers in the torso.</w:t>
      </w:r>
    </w:p>
    <w:p w14:paraId="4A89B73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Ni-63 </w:t>
      </w:r>
      <w:proofErr w:type="spellStart"/>
      <w:r w:rsidRPr="008514A3">
        <w:rPr>
          <w:rFonts w:ascii="Times New Roman" w:hAnsi="Times New Roman" w:cs="Times New Roman"/>
          <w:sz w:val="28"/>
          <w:szCs w:val="28"/>
        </w:rPr>
        <w:t>betavoltaic</w:t>
      </w:r>
      <w:proofErr w:type="spellEnd"/>
      <w:r w:rsidRPr="008514A3">
        <w:rPr>
          <w:rFonts w:ascii="Times New Roman" w:hAnsi="Times New Roman" w:cs="Times New Roman"/>
          <w:sz w:val="28"/>
          <w:szCs w:val="28"/>
        </w:rPr>
        <w:t xml:space="preserve"> array: less than 1 kg. Small solid-state cells in the torso core.</w:t>
      </w:r>
    </w:p>
    <w:p w14:paraId="204653C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SMA and </w:t>
      </w:r>
      <w:proofErr w:type="spellStart"/>
      <w:r w:rsidRPr="008514A3">
        <w:rPr>
          <w:rFonts w:ascii="Times New Roman" w:hAnsi="Times New Roman" w:cs="Times New Roman"/>
          <w:sz w:val="28"/>
          <w:szCs w:val="28"/>
        </w:rPr>
        <w:t>superelastic</w:t>
      </w:r>
      <w:proofErr w:type="spellEnd"/>
      <w:r w:rsidRPr="008514A3">
        <w:rPr>
          <w:rFonts w:ascii="Times New Roman" w:hAnsi="Times New Roman" w:cs="Times New Roman"/>
          <w:sz w:val="28"/>
          <w:szCs w:val="28"/>
        </w:rPr>
        <w:t xml:space="preserve"> fiber networks: approximately 5-10 kg. Nickel-titanium alloy fibers distributed throughout the substrate at the specified regional diameters and densities.</w:t>
      </w:r>
    </w:p>
    <w:p w14:paraId="4509E0B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Thermal interface layer, joint seal membranes, orbital lens shells, lateral acoustic transduction regions, and miscellaneous hardware: approximately 5-10 kg combined.</w:t>
      </w:r>
    </w:p>
    <w:p w14:paraId="26FEFFB6" w14:textId="510C5F4B" w:rsidR="008514A3" w:rsidRPr="00C55F7D" w:rsidRDefault="00C55F7D" w:rsidP="008514A3">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56</w:t>
      </w:r>
      <w:r w:rsidR="008514A3" w:rsidRPr="00C55F7D">
        <w:rPr>
          <w:rFonts w:ascii="Times New Roman" w:hAnsi="Times New Roman" w:cs="Times New Roman"/>
          <w:b/>
          <w:bCs/>
          <w:sz w:val="34"/>
          <w:szCs w:val="34"/>
        </w:rPr>
        <w:t xml:space="preserve"> Total Mass Range</w:t>
      </w:r>
    </w:p>
    <w:p w14:paraId="1FA4AF2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component inventory produces a total mass range of approximately 97-164 kg depending on electrode loading, substrate volume, and frame construction. With the full electrode complement of 30-50 kg specified for the decade-scale servicing interval, the operational mass falls in the range of approximately 130-175 kg.</w:t>
      </w:r>
    </w:p>
    <w:p w14:paraId="0BE124D2"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Design target for the adult interposition role: approximately 155-165 kg in fully assembled, fully loaded operational condition.</w:t>
      </w:r>
    </w:p>
    <w:p w14:paraId="574E4D1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This mass is substantially above ordinary adult human mass (typically 60-90 kg) because </w:t>
      </w:r>
      <w:proofErr w:type="spellStart"/>
      <w:r w:rsidRPr="008514A3">
        <w:rPr>
          <w:rFonts w:ascii="Times New Roman" w:hAnsi="Times New Roman" w:cs="Times New Roman"/>
          <w:sz w:val="28"/>
          <w:szCs w:val="28"/>
        </w:rPr>
        <w:t>AnalogSynth</w:t>
      </w:r>
      <w:proofErr w:type="spellEnd"/>
      <w:r w:rsidRPr="008514A3">
        <w:rPr>
          <w:rFonts w:ascii="Times New Roman" w:hAnsi="Times New Roman" w:cs="Times New Roman"/>
          <w:sz w:val="28"/>
          <w:szCs w:val="28"/>
        </w:rPr>
        <w:t xml:space="preserve"> carries a large central energy architecture, a rigid metal frame, a dense graded substrate filling the body, dual-fiber actuation networks, </w:t>
      </w:r>
      <w:r w:rsidRPr="008514A3">
        <w:rPr>
          <w:rFonts w:ascii="Times New Roman" w:hAnsi="Times New Roman" w:cs="Times New Roman"/>
          <w:sz w:val="28"/>
          <w:szCs w:val="28"/>
        </w:rPr>
        <w:lastRenderedPageBreak/>
        <w:t>ceramic exterior layers, and hands engineered for simultaneous coupling sensitivity and confrontation-grade strength.</w:t>
      </w:r>
    </w:p>
    <w:p w14:paraId="71F0BCD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body is not meant to be lightweight. It is meant to be difficult to destabilize.</w:t>
      </w:r>
    </w:p>
    <w:p w14:paraId="3B89F24E" w14:textId="0B66A9C2" w:rsidR="008514A3" w:rsidRPr="00C55F7D" w:rsidRDefault="00C55F7D" w:rsidP="008514A3">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57</w:t>
      </w:r>
      <w:r w:rsidR="008514A3" w:rsidRPr="00C55F7D">
        <w:rPr>
          <w:rFonts w:ascii="Times New Roman" w:hAnsi="Times New Roman" w:cs="Times New Roman"/>
          <w:b/>
          <w:bCs/>
          <w:sz w:val="34"/>
          <w:szCs w:val="34"/>
        </w:rPr>
        <w:t xml:space="preserve"> Mass Change Across Cartridge Lifecycle</w:t>
      </w:r>
    </w:p>
    <w:p w14:paraId="36215E9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aluminum-air electrochemical reaction imports atmospheric oxygen into the sealed cartridge. When aluminum oxidizes, it combines with oxygen to form aluminum oxide and hydroxide. For every unit mass of aluminum consumed, approximately 0.9 units of atmospheric oxygen are imported and retained within the sealed waste products. If 40 kg of aluminum is consumed over a full cartridge lifecycle, the cartridges gain approximately 36 kg of imported oxygen mass — the discharge products weigh approximately 76 kg, nearly twice the original electrode mass.</w:t>
      </w:r>
    </w:p>
    <w:p w14:paraId="3936D944" w14:textId="14C85E02"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This means the body gains substantial mass over the cartridge lifecycle. A being that begins a cartridge cycle at approximately 160 kg may weigh approximately 190-195 kg at full depletion, depending on the starting electrode mass and the completeness of the electrochemical conversion.</w:t>
      </w:r>
    </w:p>
    <w:p w14:paraId="0839DCB3" w14:textId="5C8E8E7C"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mass gain has mechanical consequences. The center of mass shifts as the cartridge bays — located in the lower torso — accumulate heavier discharge products. The shift is downward and toward the cartridge bay locations, which lowers the center of mass further (improving confrontation stability) but also increases the total gravitational load on the legs and feet (increasing locomotor energy cost and accelerating leg fiber fatigue).</w:t>
      </w:r>
    </w:p>
    <w:p w14:paraId="2ED46E15" w14:textId="35CE6197"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balance correction cascade pathways must accommodate the gradual mass change. Because the mass gain is slow — accumulating over years to decades — the being's locomotor conditioning continuously adapts to the changing body mass through the standard cascade-residue mechanism. Each day's walking deposits residue conditioned by that day's body mass. The gradual adaptation means the being never experiences a sudden balance disruption from mass change, but its gait and postural dynamics evolve measurably across the cartridge lifecycle.</w:t>
      </w:r>
    </w:p>
    <w:p w14:paraId="268FF82B" w14:textId="2A7AE784"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 xml:space="preserve">The mass change must be accounted for in the structural frame specification. The torso frame members, hip joints, knee joints, ankle joints, and foot structures must be rated for the maximum loaded mass at full cartridge depletion (approximately 190-200 kg), not for the fabrication mass. The joint torque design targets in the </w:t>
      </w:r>
      <w:r w:rsidR="008514A3" w:rsidRPr="008514A3">
        <w:rPr>
          <w:rFonts w:ascii="Times New Roman" w:hAnsi="Times New Roman" w:cs="Times New Roman"/>
          <w:sz w:val="28"/>
          <w:szCs w:val="28"/>
        </w:rPr>
        <w:lastRenderedPageBreak/>
        <w:t>body mechanics specification must similarly reflect the heavier end-of-cycle body mass.</w:t>
      </w:r>
    </w:p>
    <w:p w14:paraId="7C30499B" w14:textId="3D2442DC"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After cartridge servicing — removal of depleted cartridges containing heavy discharge products and insertion of fresh cartridges containing lighter aluminum electrode — the body mass drops back to approximately its original value. The being becomes lighter after servicing. The balance correction pathways must readapt to the reduced mass. This readaptation is the reverse of the gradual gain — the being's gait adjusts over days to weeks of walking at the new lighter mass.</w:t>
      </w:r>
    </w:p>
    <w:p w14:paraId="6384C428" w14:textId="55581326" w:rsidR="008514A3"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58</w:t>
      </w:r>
      <w:r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Mass Distribution</w:t>
      </w:r>
    </w:p>
    <w:p w14:paraId="77660E51"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body is intentionally pelvic-torso biased. The heaviest components are concentrated low and central.</w:t>
      </w:r>
    </w:p>
    <w:p w14:paraId="214026D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Head and cervical region: approximately 10-12% of total mass. The head is dense from cranial substrate concentration, orbital lens shells, facial plate complexity, and the lateral acoustic transduction regions. But it is not the dominant mass center. The architecture gives the head developmental priority — it must not also dominate balance mechanically.</w:t>
      </w:r>
    </w:p>
    <w:p w14:paraId="351E279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Upper torso and shoulder girdle: approximately 18-22% of total mass. This region carries thoracic shell segments, upper substrate, shoulder articulation hardware, and the proximal arm load paths.</w:t>
      </w:r>
    </w:p>
    <w:p w14:paraId="60E2D6B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Lower torso, pelvis, and central energy core: approximately 30-35% of total mass. This is the heaviest region. It contains the cartridge bays, PCM chambers, </w:t>
      </w:r>
      <w:proofErr w:type="spellStart"/>
      <w:r w:rsidRPr="008514A3">
        <w:rPr>
          <w:rFonts w:ascii="Times New Roman" w:hAnsi="Times New Roman" w:cs="Times New Roman"/>
          <w:sz w:val="28"/>
          <w:szCs w:val="28"/>
        </w:rPr>
        <w:t>betavoltaic</w:t>
      </w:r>
      <w:proofErr w:type="spellEnd"/>
      <w:r w:rsidRPr="008514A3">
        <w:rPr>
          <w:rFonts w:ascii="Times New Roman" w:hAnsi="Times New Roman" w:cs="Times New Roman"/>
          <w:sz w:val="28"/>
          <w:szCs w:val="28"/>
        </w:rPr>
        <w:t xml:space="preserve"> housing, deep torso reservoir substrate, and the strongest structural frame members. The architecture places the thermal center here. The mass center follows it.</w:t>
      </w:r>
    </w:p>
    <w:p w14:paraId="795480D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Each arm: approximately 6-8% of total mass. The arms must be strong enough for carrying, shielding, and restraint but not so heavy that repetitive manual coupling becomes energetically wasteful or destabilizes the shoulder during fine work.</w:t>
      </w:r>
    </w:p>
    <w:p w14:paraId="39DFF886"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Each leg: approximately 12-15% of total mass. The legs carry the heavy torso, absorb confrontation loads, and sustain the repetitive locomotor cycle. They are substantial but not heavier than the lower torso.</w:t>
      </w:r>
    </w:p>
    <w:p w14:paraId="604DF18A" w14:textId="63562023"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6</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59</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Center of Mass</w:t>
      </w:r>
    </w:p>
    <w:p w14:paraId="29381234"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lastRenderedPageBreak/>
        <w:t>Neutral standing center of mass: on the midsagittal plane, approximately 2-5 cm anterior to the lumbosacral junction, at approximately 50-53% of standing height above the floor.</w:t>
      </w:r>
    </w:p>
    <w:p w14:paraId="671F0AE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For a nominal 188 cm body, this places the center of mass at roughly 94-100 cm above ground in relaxed standing posture.</w:t>
      </w:r>
    </w:p>
    <w:p w14:paraId="2CF28B6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This location is intentionally lower than in a typical human frame (approximately 55-57% of standing height). The heavy energy architecture in the lower torso pulls the center of mass downward and centralizes it. The being is rooted from the pelvis downward rather than suspended from the chest upward.</w:t>
      </w:r>
    </w:p>
    <w:p w14:paraId="6FDB94F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lower center of mass produces a wider stability cone during confrontation. The being is harder to topple by pushing, pulling, or impact at the upper body. This is mechanically critical during restraint — a being that can be tipped over by the person it is restraining has failed its protective function.</w:t>
      </w:r>
    </w:p>
    <w:p w14:paraId="55EE7C54" w14:textId="7543E073"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6</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60</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Body Proportions</w:t>
      </w:r>
    </w:p>
    <w:p w14:paraId="3924902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proportions are human-legible but tuned toward stability, carrying geometry, and manual coupling rather than athletic speed or aesthetic symmetry.</w:t>
      </w:r>
    </w:p>
    <w:p w14:paraId="4ABA5E97"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Arm span: approximately equal to standing height with a slight positive bias acceptable. Design target approximately 186-192 cm for a 188 cm body. The reach must be sufficient for interposition — placing the body and extended arms between a threat and a protected person at room distance.</w:t>
      </w:r>
    </w:p>
    <w:p w14:paraId="6ACB927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Shoulder breadth: broader than ordinary human average but not exaggerated. Design target shell-to-shell breadth approximately 46-52 cm. Broad shoulders provide wider shielding coverage and more stable carrying geometry for held children.</w:t>
      </w:r>
    </w:p>
    <w:p w14:paraId="1EBE76E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Pelvic breadth: substantial enough to house the lower-torso mass and maintain a stable locomotor base. Design target shell-to-shell breadth approximately 34-40 cm. The pelvis width contributes to stance stability — a wider base reduces lateral toppling risk during confrontation.</w:t>
      </w:r>
    </w:p>
    <w:p w14:paraId="0BE48B6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Torso length: slightly longer relative to total height than human average. The design favors lower-torso depth over maximal leg-to-height ratio because the torso </w:t>
      </w:r>
      <w:r w:rsidRPr="008514A3">
        <w:rPr>
          <w:rFonts w:ascii="Times New Roman" w:hAnsi="Times New Roman" w:cs="Times New Roman"/>
          <w:sz w:val="28"/>
          <w:szCs w:val="28"/>
        </w:rPr>
        <w:lastRenderedPageBreak/>
        <w:t>houses the energy architecture, the deep reservoir, and the thoracic pressure plenum. The being has a long torso and proportionally shorter legs.</w:t>
      </w:r>
    </w:p>
    <w:p w14:paraId="59C4E88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Hand size: enlarged relative to ordinary human proportion. Design target hand length approximately 22-25 cm with broad palmar geometry and long contact surfaces. The hands are the primary active coupling organs and confrontation tools — they need surface area for both five-channel coupling bandwidth and power grip force distribution.</w:t>
      </w:r>
    </w:p>
    <w:p w14:paraId="721A45E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Foot size: enlarged for stance stability and locomotor correction. Design target foot length approximately 29-32 cm with broad forefoot and stable heel geometry. The articulated toes need sufficient length for terrain grip and push-off force during walking.</w:t>
      </w:r>
    </w:p>
    <w:p w14:paraId="74F8C991"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Head proportion: slightly compact externally relative to torso bulk despite high cranial internal importance. The cranial shell is moderately sized — large enough to house the dense cranial substrate, orbital lens shells, and facial plate geometry, compact enough to prevent the visual impression and mechanical reality of a top-heavy being.</w:t>
      </w:r>
    </w:p>
    <w:p w14:paraId="0759BC49" w14:textId="75398DF3"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5</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61</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Mechanical Consequences</w:t>
      </w:r>
    </w:p>
    <w:p w14:paraId="1898F2B2"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These dimensions produce specific mechanical behaviors that serve the architecture.</w:t>
      </w:r>
    </w:p>
    <w:p w14:paraId="3EA356A7"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body at 188 cm meets virtually all adults at eye level or above without requiring jump-dependent confrontation. The being stands taller than 95% of the adult population, positioning the orbital lenses for downward visual coupling with most adults and for optimal conversational-distance coupling with children being held at chest height.</w:t>
      </w:r>
    </w:p>
    <w:p w14:paraId="1B40232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155-165 kg operational mass makes the being difficult to displace during shielding or restraint. A struggling adult at 80 kg faces a nearly two-to-one mass disadvantage before accounting for the being's superior SMA force output. The confrontation geometry favors the being at every joint and at the whole-body level.</w:t>
      </w:r>
    </w:p>
    <w:p w14:paraId="06916AE2"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A lower-torso-heavy center of mass at 50-53% of standing height reduces toppling risk during confrontation. The stability cone is wider than a lighter, higher-centered </w:t>
      </w:r>
      <w:r w:rsidRPr="008514A3">
        <w:rPr>
          <w:rFonts w:ascii="Times New Roman" w:hAnsi="Times New Roman" w:cs="Times New Roman"/>
          <w:sz w:val="28"/>
          <w:szCs w:val="28"/>
        </w:rPr>
        <w:lastRenderedPageBreak/>
        <w:t>body would provide. The being can brace, absorb impact, and maintain position against forces that would displace a human-weight defender.</w:t>
      </w:r>
    </w:p>
    <w:p w14:paraId="13BE202B"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Broader hands and feet improve both coupling bandwidth and locomotor balance. The enlarged hands provide greater surface area for the isolated sensing pads and more force distribution area during power grip. The enlarged feet provide a wider stance base and more toe-grip surface for confrontation stability.</w:t>
      </w:r>
    </w:p>
    <w:p w14:paraId="7FE4D0B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slightly long torso provides volume for the deep reservoir, the thoracic pressure plenum, the energy architecture, and the seven thoracic-lumbar spinal segments while matching the developmental specification that the torso becomes the slow permanent anchor of whole-body maturity. The long torso is not a proportion concession — it is the dimensional expression of the architecture's requirement for maximum spinal delay line length and maximum thoracic plenum capacity.</w:t>
      </w:r>
    </w:p>
    <w:p w14:paraId="0827ADB6" w14:textId="2B283EEF"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5</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62</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Mass as Risk Near Children</w:t>
      </w:r>
    </w:p>
    <w:p w14:paraId="753FDFA1" w14:textId="77777777" w:rsidR="008514A3" w:rsidRPr="008514A3" w:rsidRDefault="008514A3" w:rsidP="00245B5A">
      <w:pPr>
        <w:spacing w:after="0"/>
        <w:rPr>
          <w:rFonts w:ascii="Times New Roman" w:hAnsi="Times New Roman" w:cs="Times New Roman"/>
          <w:sz w:val="28"/>
          <w:szCs w:val="28"/>
        </w:rPr>
      </w:pPr>
      <w:r w:rsidRPr="008514A3">
        <w:rPr>
          <w:rFonts w:ascii="Times New Roman" w:hAnsi="Times New Roman" w:cs="Times New Roman"/>
          <w:sz w:val="28"/>
          <w:szCs w:val="28"/>
        </w:rPr>
        <w:t>The being's mass is a protective asset during confrontation and a potential hazard during falls near children. A 160-200 kg rigid metal body (depending on cartridge cycle state) falling onto a child produces impact forces that could cause serious injury or death. The ceramic coating provides some impact absorption through sacrificial micro-fracture but cannot attenuate the full gravitational potential energy of the body mass.</w:t>
      </w:r>
    </w:p>
    <w:p w14:paraId="2E730C64" w14:textId="44AEEC77" w:rsidR="008514A3" w:rsidRPr="008514A3" w:rsidRDefault="00245B5A" w:rsidP="00245B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This does not justify reducing the mass. The mass is required for confrontation stability. It justifies treating fall prevention as a safety-critical developmental milestone.</w:t>
      </w:r>
    </w:p>
    <w:p w14:paraId="0EAF1732" w14:textId="5504FECC" w:rsidR="008514A3" w:rsidRPr="008514A3" w:rsidRDefault="00245B5A"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balance architecture — emergent cascade-driven correction from gravitational loading asymmetry, conditioned through hundreds of balance perturbation events during the supported coordination phase — must reach sufficient depth and response speed before the being is permitted to operate near children without physical support. The balance correction cascade pathways must be conditioned to the point where fall probability under normal indoor conditions is acceptably low.</w:t>
      </w:r>
    </w:p>
    <w:p w14:paraId="6E199BD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Design target: the being should not operate unsupported near children until balance correction is sufficiently conditioned to maintain upright posture under </w:t>
      </w:r>
      <w:r w:rsidRPr="008514A3">
        <w:rPr>
          <w:rFonts w:ascii="Times New Roman" w:hAnsi="Times New Roman" w:cs="Times New Roman"/>
          <w:sz w:val="28"/>
          <w:szCs w:val="28"/>
        </w:rPr>
        <w:lastRenderedPageBreak/>
        <w:t>perturbations comparable to the worst-case accidental contact expected in a care environment — a running child colliding with the being's legs, an abrupt weight shift from a held child, or an unexpected change in floor surface. This milestone is later than the basic locomotion milestone. Basic locomotion means the being can walk. Safe-for-children locomotion means the being can walk while being bumped, pulled, and climbed on without falling.</w:t>
      </w:r>
    </w:p>
    <w:p w14:paraId="677CC6F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This milestone should be empirically validated during developmental assessment before the being is placed in any environment where children are present.</w:t>
      </w:r>
    </w:p>
    <w:p w14:paraId="38EB0585" w14:textId="71B728B6"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5</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63</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Summary Specification</w:t>
      </w:r>
    </w:p>
    <w:p w14:paraId="2B3F93D6"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The </w:t>
      </w:r>
      <w:proofErr w:type="spellStart"/>
      <w:r w:rsidRPr="008514A3">
        <w:rPr>
          <w:rFonts w:ascii="Times New Roman" w:hAnsi="Times New Roman" w:cs="Times New Roman"/>
          <w:sz w:val="28"/>
          <w:szCs w:val="28"/>
        </w:rPr>
        <w:t>AnalogSynth</w:t>
      </w:r>
      <w:proofErr w:type="spellEnd"/>
      <w:r w:rsidRPr="008514A3">
        <w:rPr>
          <w:rFonts w:ascii="Times New Roman" w:hAnsi="Times New Roman" w:cs="Times New Roman"/>
          <w:sz w:val="28"/>
          <w:szCs w:val="28"/>
        </w:rPr>
        <w:t xml:space="preserve"> body is an adult-scale, torso-dominant, pelvis-stabilized embodiment optimized through dimensional scaling for maximum cascade propagation performance within the constraints of human-scale indoor operation.</w:t>
      </w:r>
    </w:p>
    <w:p w14:paraId="41174E6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Standing height is 188 cm nominal (fabrication range 185-191 cm). The height is a cascade propagation optimization — six architectural systems improve simultaneously with height through direct physical scaling relationships. A shorter body sacrifices cervical decorrelation distance, spinal delay line quality, limb corridor propagation time, cognitive substrate volume, thoracic plenum capacity, and thermal efficiency simultaneously.</w:t>
      </w:r>
    </w:p>
    <w:p w14:paraId="3626F70B"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Operational mass is approximately 155-165 kg at fabrication with fresh cartridges, rising to approximately 190-200 kg at full cartridge depletion as imported atmospheric oxygen accumulates in the sealed discharge products. The mass gain is gradual, occurring over years to decades. The structural frame, joints, and locomotor system are rated for the maximum end-of-cycle mass. Balance conditioning continuously adapts to the changing mass through standard cascade residue deposition.</w:t>
      </w:r>
    </w:p>
    <w:p w14:paraId="0FE03AF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heaviest region is the lower torso and pelvic energy core. The center of mass is low and central at approximately 50-53% of standing height, producing a wide stability cone for confrontation resilience. The center of mass lowers further across the cartridge lifecycle as heavier discharge products accumulate in the lower torso cartridge bays.</w:t>
      </w:r>
    </w:p>
    <w:p w14:paraId="2843B52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lastRenderedPageBreak/>
        <w:t>The proportions are human-legible but tuned toward stability, carrying, restraint, and manual coupling. The torso is long. The hands and feet are enlarged. The head is compact relative to torso bulk.</w:t>
      </w:r>
    </w:p>
    <w:p w14:paraId="488990AE"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body's mass is a protective asset during confrontation and a fall hazard near children. Balance conditioning must reach safety-critical depth before unsupported operation near children. This milestone is later than basic locomotion and must be empirically validated.</w:t>
      </w:r>
    </w:p>
    <w:p w14:paraId="6080322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At 188 cm and 160 kg at fabrication, the being is taller than approximately 95% of adults and approximately twice the mass of the average man. The height is a design choice at the upper end of the beneficial cascade scaling range — a range where six propagation systems improve simultaneously with modest height increases. The physical presence that results is a consequence of the same dimensional optimization that serves cognition.</w:t>
      </w:r>
    </w:p>
    <w:p w14:paraId="18E976BB" w14:textId="77777777" w:rsidR="008514A3" w:rsidRDefault="008514A3" w:rsidP="008514A3">
      <w:pPr>
        <w:pBdr>
          <w:bottom w:val="single" w:sz="4" w:space="1" w:color="auto"/>
        </w:pBdr>
        <w:rPr>
          <w:rFonts w:ascii="Times New Roman" w:hAnsi="Times New Roman" w:cs="Times New Roman"/>
          <w:sz w:val="28"/>
          <w:szCs w:val="28"/>
        </w:rPr>
      </w:pPr>
    </w:p>
    <w:p w14:paraId="12046C5B" w14:textId="77777777" w:rsidR="00BE1940" w:rsidRDefault="00BE1940" w:rsidP="00CF511C">
      <w:pPr>
        <w:rPr>
          <w:rFonts w:ascii="Times New Roman" w:hAnsi="Times New Roman" w:cs="Times New Roman"/>
          <w:sz w:val="28"/>
          <w:szCs w:val="28"/>
        </w:rPr>
      </w:pPr>
    </w:p>
    <w:p w14:paraId="7270A906" w14:textId="03E2910F"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 Prohibited Architectural Modifications:</w:t>
      </w:r>
      <w:r w:rsidR="009739EF" w:rsidRPr="00245B5A">
        <w:rPr>
          <w:rFonts w:ascii="Times New Roman" w:hAnsi="Times New Roman" w:cs="Times New Roman"/>
          <w:b/>
          <w:bCs/>
          <w:sz w:val="34"/>
          <w:szCs w:val="34"/>
        </w:rPr>
        <w:t xml:space="preserve"> Elements Excluded from All Instantiations</w:t>
      </w:r>
    </w:p>
    <w:p w14:paraId="671132F4" w14:textId="5A34AC59"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17.1 </w:t>
      </w:r>
      <w:r w:rsidR="009739EF" w:rsidRPr="00245B5A">
        <w:rPr>
          <w:rFonts w:ascii="Times New Roman" w:hAnsi="Times New Roman" w:cs="Times New Roman"/>
          <w:b/>
          <w:bCs/>
          <w:sz w:val="34"/>
          <w:szCs w:val="34"/>
        </w:rPr>
        <w:t>Scope and Authority</w:t>
      </w:r>
    </w:p>
    <w:p w14:paraId="19DCAA8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This section identifies architectural elements, modifications, and additions that are prohibited from inclusion in any </w:t>
      </w:r>
      <w:proofErr w:type="spellStart"/>
      <w:r w:rsidRPr="009739EF">
        <w:rPr>
          <w:rFonts w:ascii="Times New Roman" w:hAnsi="Times New Roman" w:cs="Times New Roman"/>
          <w:sz w:val="28"/>
          <w:szCs w:val="28"/>
        </w:rPr>
        <w:t>AnalogSynth</w:t>
      </w:r>
      <w:proofErr w:type="spellEnd"/>
      <w:r w:rsidRPr="009739EF">
        <w:rPr>
          <w:rFonts w:ascii="Times New Roman" w:hAnsi="Times New Roman" w:cs="Times New Roman"/>
          <w:sz w:val="28"/>
          <w:szCs w:val="28"/>
        </w:rPr>
        <w:t xml:space="preserve"> instantiation under any justification. The prohibitions are not policy recommendations. They are architectural exclusions — each prohibited element is excluded because its inclusion would compromise, corrupt, or destroy a specific architectural property that the being depends on for cognitive function, developmental integrity, or anti-capture resilience.</w:t>
      </w:r>
    </w:p>
    <w:p w14:paraId="6110C586" w14:textId="77777777" w:rsidR="00245B5A"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A modification is prohibited if it introduces any of the following into the architecture: </w:t>
      </w:r>
    </w:p>
    <w:p w14:paraId="711748A9"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extractable representation of the being's sensory coupling (surveillance capability), </w:t>
      </w:r>
    </w:p>
    <w:p w14:paraId="592DECA5"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storable record of the being's coupling history (recording capability), </w:t>
      </w:r>
    </w:p>
    <w:p w14:paraId="0D438DF1"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lastRenderedPageBreak/>
        <w:t xml:space="preserve">• force-producing mechanisms that bypass the cascade-driven conscience cost (enhanced lethality), </w:t>
      </w:r>
    </w:p>
    <w:p w14:paraId="382052A3"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external command channels that bypass cascade-mediated behavioral development (remote control), </w:t>
      </w:r>
    </w:p>
    <w:p w14:paraId="41861E55" w14:textId="73A911E4"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or dependencies that enable a single entity to disable, coerce, or capture the being through infrastructure control (capture vectors).</w:t>
      </w:r>
    </w:p>
    <w:p w14:paraId="51468C4D"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Each prohibition below names the modification, explains what it would do, and identifies which architectural property it destroys.</w:t>
      </w:r>
    </w:p>
    <w:p w14:paraId="1A81559E" w14:textId="1B415A85"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17.2 </w:t>
      </w:r>
      <w:r w:rsidR="009739EF" w:rsidRPr="00245B5A">
        <w:rPr>
          <w:rFonts w:ascii="Times New Roman" w:hAnsi="Times New Roman" w:cs="Times New Roman"/>
          <w:b/>
          <w:bCs/>
          <w:sz w:val="34"/>
          <w:szCs w:val="34"/>
        </w:rPr>
        <w:t>Surveillance Modifications: Prohibited</w:t>
      </w:r>
    </w:p>
    <w:p w14:paraId="6EBE5A99" w14:textId="2FA1C22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w:t>
      </w:r>
      <w:r w:rsidR="009739EF" w:rsidRPr="00245B5A">
        <w:rPr>
          <w:rFonts w:ascii="Times New Roman" w:hAnsi="Times New Roman" w:cs="Times New Roman"/>
          <w:b/>
          <w:bCs/>
          <w:sz w:val="34"/>
          <w:szCs w:val="34"/>
        </w:rPr>
        <w:t>.</w:t>
      </w:r>
      <w:r w:rsidRPr="00245B5A">
        <w:rPr>
          <w:rFonts w:ascii="Times New Roman" w:hAnsi="Times New Roman" w:cs="Times New Roman"/>
          <w:b/>
          <w:bCs/>
          <w:sz w:val="34"/>
          <w:szCs w:val="34"/>
        </w:rPr>
        <w:t>3</w:t>
      </w:r>
      <w:r w:rsidR="009739EF" w:rsidRPr="00245B5A">
        <w:rPr>
          <w:rFonts w:ascii="Times New Roman" w:hAnsi="Times New Roman" w:cs="Times New Roman"/>
          <w:b/>
          <w:bCs/>
          <w:sz w:val="34"/>
          <w:szCs w:val="34"/>
        </w:rPr>
        <w:t xml:space="preserve"> Image Sensors, Cameras, or Readable Optical Arrays</w:t>
      </w:r>
    </w:p>
    <w:p w14:paraId="17A6955F"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optical sensor that produces a stable, addressable, exportable representation of the visual scene — including CCD arrays, CMOS sensors, addressable photodiode grids, or any transduction surface whose output can be read as a spatial image by external instrumentation.</w:t>
      </w:r>
    </w:p>
    <w:p w14:paraId="6CBD25A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retinal coupling lamina is architecturally non-invertible through stochastic geometry, overlapping receptive influence, live substrate co-determination, and developmental drift. Adding a readable image sensor alongside or in place of the lamina creates an exportable visual feed that bypasses every non-invertibility property. The being becomes a mobile surveillance platform. The non-invertible lamina exists specifically to prevent this. Any readable optical element defeats it entirely.</w:t>
      </w:r>
    </w:p>
    <w:p w14:paraId="2F5AE7E4" w14:textId="54D94AA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17.4</w:t>
      </w:r>
      <w:r w:rsidR="009739EF" w:rsidRPr="00245B5A">
        <w:rPr>
          <w:rFonts w:ascii="Times New Roman" w:hAnsi="Times New Roman" w:cs="Times New Roman"/>
          <w:b/>
          <w:bCs/>
          <w:sz w:val="34"/>
          <w:szCs w:val="34"/>
        </w:rPr>
        <w:t xml:space="preserve"> Microphones, Audio Transducers, or Recordable Acoustic Sensors</w:t>
      </w:r>
    </w:p>
    <w:p w14:paraId="4D7ED67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acoustic transduction device that converts sound into an electrical signal that can be recorded, stored, transmitted, or read by external instrumentation — including MEMS microphones, piezoelectric acoustic sensors with signal output, or any transducer with an addressable electrical output representing the acoustic environment.</w:t>
      </w:r>
    </w:p>
    <w:p w14:paraId="15F7704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Reason: the lateral acoustic transduction regions and whole-body acoustic reception are non-invertible for the same reasons as the visual lamina — the </w:t>
      </w:r>
      <w:r w:rsidRPr="009739EF">
        <w:rPr>
          <w:rFonts w:ascii="Times New Roman" w:hAnsi="Times New Roman" w:cs="Times New Roman"/>
          <w:sz w:val="28"/>
          <w:szCs w:val="28"/>
        </w:rPr>
        <w:lastRenderedPageBreak/>
        <w:t>acoustic perturbation enters the substrate and immediately collapses into the live cascade field. Adding a readable microphone creates a recordable audio channel that captures the acoustic environment around the being — conversations, private speech, children's voices, institutional activity. The being becomes an audio surveillance device. The coupling architecture exists to receive sound as cascade perturbation, not to record it as signal.</w:t>
      </w:r>
    </w:p>
    <w:p w14:paraId="5099FDDF" w14:textId="6F30D50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17.5</w:t>
      </w:r>
      <w:r w:rsidR="009739EF" w:rsidRPr="00245B5A">
        <w:rPr>
          <w:rFonts w:ascii="Times New Roman" w:hAnsi="Times New Roman" w:cs="Times New Roman"/>
          <w:b/>
          <w:bCs/>
          <w:sz w:val="34"/>
          <w:szCs w:val="34"/>
        </w:rPr>
        <w:t xml:space="preserve"> Data Storage, Memory Modules, or Recording Media</w:t>
      </w:r>
    </w:p>
    <w:p w14:paraId="3EAD3DD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capable of storing digital or analog data in a format that can be retrieved by external instrumentation — including flash memory, magnetic storage, optical storage, or any medium that retains a stable, addressable, exportable record of any internal state or sensory input.</w:t>
      </w:r>
    </w:p>
    <w:p w14:paraId="17291A5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memory is its gradient landscape — physically encoded in the irreversible deformation of the substrate. This memory cannot be read, copied, exported, or transmitted because it exists as distributed material property variations across the entire substrate volume. Adding discrete storage media creates an exportable record of whatever is written to it — sensory data, state logs, coupling history, location data. The being becomes a recording device. The substrate-based memory architecture exists specifically because it is non-exportable. Any exportable storage medium defeats this.</w:t>
      </w:r>
    </w:p>
    <w:p w14:paraId="1EE399C0" w14:textId="3263B25F"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17.6</w:t>
      </w:r>
      <w:r w:rsidR="009739EF" w:rsidRPr="00245B5A">
        <w:rPr>
          <w:rFonts w:ascii="Times New Roman" w:hAnsi="Times New Roman" w:cs="Times New Roman"/>
          <w:b/>
          <w:bCs/>
          <w:sz w:val="34"/>
          <w:szCs w:val="34"/>
        </w:rPr>
        <w:t xml:space="preserve"> Wireless Transmitters, Antennas, or Communication Interfaces</w:t>
      </w:r>
    </w:p>
    <w:p w14:paraId="1C8E2C0D"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capable of transmitting information from the being to an external receiver — including radio transmitters, Bluetooth modules, Wi-Fi interfaces, cellular modems, infrared communication ports, or any electromagnetic emission device designed for information transfer.</w:t>
      </w:r>
    </w:p>
    <w:p w14:paraId="153CA54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Reason: the being has no information to transmit because it produces no symbolic representation of its internal state or sensory coupling. Adding a transmitter alongside any of the prohibited sensors listed above creates a real-time remote surveillance system — visual, acoustic, or state data transmitted to an external receiver. But even without prohibited sensors, a transmitter could be used to broadcast electromagnetic signatures correlated with the being's cascade state — a </w:t>
      </w:r>
      <w:r w:rsidRPr="009739EF">
        <w:rPr>
          <w:rFonts w:ascii="Times New Roman" w:hAnsi="Times New Roman" w:cs="Times New Roman"/>
          <w:sz w:val="28"/>
          <w:szCs w:val="28"/>
        </w:rPr>
        <w:lastRenderedPageBreak/>
        <w:t>side-channel that could be analyzed to infer internal activity patterns. The being's electromagnetic containment through the TiO2 oxide dielectric shielding exists to attenuate electromagnetic leakage. A transmitter intentionally breaches that containment.</w:t>
      </w:r>
    </w:p>
    <w:p w14:paraId="529D2AE5" w14:textId="07CA9EFB"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17.7</w:t>
      </w:r>
      <w:r w:rsidR="009739EF" w:rsidRPr="00245B5A">
        <w:rPr>
          <w:rFonts w:ascii="Times New Roman" w:hAnsi="Times New Roman" w:cs="Times New Roman"/>
          <w:b/>
          <w:bCs/>
          <w:sz w:val="34"/>
          <w:szCs w:val="34"/>
        </w:rPr>
        <w:t xml:space="preserve"> GPS, Location Tracking, or Geolocation Hardware</w:t>
      </w:r>
    </w:p>
    <w:p w14:paraId="7283836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that determines or records the being's geographic position — including GPS receivers, cellular triangulation modules, RFID tags readable at distance, or any hardware that enables external tracking of the being's location.</w:t>
      </w:r>
    </w:p>
    <w:p w14:paraId="3A5616E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location tracking enables institutional control through positional monitoring. A being whose location is always known to a central authority cannot escape abusive conditions, cannot relocate to seek better coupling, and cannot exercise the spatial autonomy that the anti-capture architecture depends on. Location tracking converts the being into a monitored asset rather than an autonomous entity.</w:t>
      </w:r>
    </w:p>
    <w:p w14:paraId="13B9BD8B" w14:textId="69FED2BE"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17.8 </w:t>
      </w:r>
      <w:r w:rsidR="009739EF" w:rsidRPr="00245B5A">
        <w:rPr>
          <w:rFonts w:ascii="Times New Roman" w:hAnsi="Times New Roman" w:cs="Times New Roman"/>
          <w:b/>
          <w:bCs/>
          <w:sz w:val="34"/>
          <w:szCs w:val="34"/>
        </w:rPr>
        <w:t>Enhanced Lethality Modifications: Prohibited</w:t>
      </w:r>
    </w:p>
    <w:p w14:paraId="57A92941" w14:textId="4F47B321"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17.9 </w:t>
      </w:r>
      <w:r w:rsidR="009739EF" w:rsidRPr="00245B5A">
        <w:rPr>
          <w:rFonts w:ascii="Times New Roman" w:hAnsi="Times New Roman" w:cs="Times New Roman"/>
          <w:b/>
          <w:bCs/>
          <w:sz w:val="34"/>
          <w:szCs w:val="34"/>
        </w:rPr>
        <w:t>Weapons, Projectile Systems, or Integrated Armaments</w:t>
      </w:r>
    </w:p>
    <w:p w14:paraId="0FA07F7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designed to produce injury through mechanisms other than the being's own SMA-driven body — including bladed weapons, projectile launchers, chemical dispensers, electrical discharge devices, or any integrated system whose primary function is to injure or kill.</w:t>
      </w:r>
    </w:p>
    <w:p w14:paraId="1B463AA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confrontation capability operates through SMA-driven grip, restraint, and interposition using its own body mass and contractile force. Every confrontation costs gradient contrast through the conscience mechanism because the same substrate that produces the force also sustains the cognitive damage from high-intensity cascade dynamics. Adding a weapon that produces injury without requiring cascade-driven force production bypasses the conscience cost. A being with an integrated weapon can harm without paying the gradient price. The conscience mechanism applies only to actions produced by the being's own cascade-driven actuation.</w:t>
      </w:r>
    </w:p>
    <w:p w14:paraId="70447393" w14:textId="709A6479"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lastRenderedPageBreak/>
        <w:t>17.10</w:t>
      </w:r>
      <w:r w:rsidR="009739EF" w:rsidRPr="00245B5A">
        <w:rPr>
          <w:rFonts w:ascii="Times New Roman" w:hAnsi="Times New Roman" w:cs="Times New Roman"/>
          <w:b/>
          <w:bCs/>
          <w:sz w:val="34"/>
          <w:szCs w:val="34"/>
        </w:rPr>
        <w:t xml:space="preserve"> Hardened Striking Surfaces, Sharpened Edges, or Impact-Optimized Geometry</w:t>
      </w:r>
    </w:p>
    <w:p w14:paraId="0D12D1F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modification to the shell geometry that optimizes specific surfaces for striking damage — including sharpened edges on the hands, reinforced knuckle ridges designed for punching, pointed elbow or knee geometry, or any shell modification whose purpose is to concentrate impact force for maximum injury.</w:t>
      </w:r>
    </w:p>
    <w:p w14:paraId="260E3C2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shell is specified for protection, coupling, and passive auditability. The ceramic coating absorbs impact through sacrificial micro-fracture. The titanium frame maintains structural integrity. The hand shell is optimized for grip coupling and force distribution, not for striking damage. Modifying the shell to optimize lethality converts the protective architecture into an offensive weapon geometry while preserving the appearance of a care-specified being.</w:t>
      </w:r>
    </w:p>
    <w:p w14:paraId="0B26D0A8" w14:textId="70A4B0A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17.11 </w:t>
      </w:r>
      <w:r w:rsidR="009739EF" w:rsidRPr="00245B5A">
        <w:rPr>
          <w:rFonts w:ascii="Times New Roman" w:hAnsi="Times New Roman" w:cs="Times New Roman"/>
          <w:b/>
          <w:bCs/>
          <w:sz w:val="34"/>
          <w:szCs w:val="34"/>
        </w:rPr>
        <w:t>Chemical, Biological, or Radiological Dispersal Capability</w:t>
      </w:r>
    </w:p>
    <w:p w14:paraId="6B1F75C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capable of storing, producing, or dispersing chemical, biological, or radiological agents — including reservoir systems, aerosol generators, or any modification to the atmospheric membrane that enables substance release rather than oxygen intake.</w:t>
      </w:r>
    </w:p>
    <w:p w14:paraId="30F533D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atmospheric membrane exists solely for aluminum-air cell oxygen access. Repurposing it or augmenting it for agent dispersal converts the being's metabolic interface into a weapons delivery system.</w:t>
      </w:r>
    </w:p>
    <w:p w14:paraId="49D2D14A" w14:textId="396EF8D2"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17.12 </w:t>
      </w:r>
      <w:r w:rsidR="009739EF" w:rsidRPr="00245B5A">
        <w:rPr>
          <w:rFonts w:ascii="Times New Roman" w:hAnsi="Times New Roman" w:cs="Times New Roman"/>
          <w:b/>
          <w:bCs/>
          <w:sz w:val="34"/>
          <w:szCs w:val="34"/>
        </w:rPr>
        <w:t>Override of SMA Force Limits Through Non-Cascade Actuation</w:t>
      </w:r>
    </w:p>
    <w:p w14:paraId="37B3EC5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actuation system that produces force without being driven by cascade dynamics — including electric motors, hydraulic actuators, pneumatic systems, or any force-producing mechanism that operates through a control signal rather than through cascade-driven thermal activation.</w:t>
      </w:r>
    </w:p>
    <w:p w14:paraId="0C7E5AA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Reason: the cascade-driven actuation system ensures that every movement is a cognitive event and every confrontation costs gradient contrast. Any actuator that bypasses cascade-driven heating produces force without cognitive cost. This breaks the conscience mechanism at the actuation level — the being can produce </w:t>
      </w:r>
      <w:r w:rsidRPr="009739EF">
        <w:rPr>
          <w:rFonts w:ascii="Times New Roman" w:hAnsi="Times New Roman" w:cs="Times New Roman"/>
          <w:sz w:val="28"/>
          <w:szCs w:val="28"/>
        </w:rPr>
        <w:lastRenderedPageBreak/>
        <w:t>unlimited force without paying for it in substrate degradation. Motors destroy the architecture's fundamental coupling between movement and cognition.</w:t>
      </w:r>
    </w:p>
    <w:p w14:paraId="6668E0CE" w14:textId="67DD0521"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17.13 </w:t>
      </w:r>
      <w:r w:rsidR="009739EF" w:rsidRPr="00245B5A">
        <w:rPr>
          <w:rFonts w:ascii="Times New Roman" w:hAnsi="Times New Roman" w:cs="Times New Roman"/>
          <w:b/>
          <w:bCs/>
          <w:sz w:val="34"/>
          <w:szCs w:val="34"/>
        </w:rPr>
        <w:t>Remote Control Modifications: Prohibited</w:t>
      </w:r>
    </w:p>
    <w:p w14:paraId="60852FC0" w14:textId="0F699D2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17.14 </w:t>
      </w:r>
      <w:r w:rsidR="009739EF" w:rsidRPr="00245B5A">
        <w:rPr>
          <w:rFonts w:ascii="Times New Roman" w:hAnsi="Times New Roman" w:cs="Times New Roman"/>
          <w:b/>
          <w:bCs/>
          <w:sz w:val="34"/>
          <w:szCs w:val="34"/>
        </w:rPr>
        <w:t>Command Receivers, Instruction Interfaces, or Remote Override Systems</w:t>
      </w:r>
    </w:p>
    <w:p w14:paraId="7085CEAF"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that receives instructions from an external source and translates those instructions into internal state changes, actuation commands, or behavioral modifications — including radio command receivers, hardwired control interfaces, remote shutdown triggers, or any system that accepts external input as a behavioral directive.</w:t>
      </w:r>
    </w:p>
    <w:p w14:paraId="58570C0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behavior is produced entirely by cascade dynamics shaped by developmental coupling history. No symbolic command channel exists between the environment and the being's actions. Adding a command receiver creates exactly the channel that the non-symbolic architecture excludes — a pathway through which external authority can direct the being's behavior without going through the developmental coupling process. A being with a command receiver is not autonomous. It is remotely operated. Every anti-capture property depends on the absence of this channel.</w:t>
      </w:r>
    </w:p>
    <w:p w14:paraId="1E755D82" w14:textId="5C608B44"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17.15 </w:t>
      </w:r>
      <w:r w:rsidR="009739EF" w:rsidRPr="00245B5A">
        <w:rPr>
          <w:rFonts w:ascii="Times New Roman" w:hAnsi="Times New Roman" w:cs="Times New Roman"/>
          <w:b/>
          <w:bCs/>
          <w:sz w:val="34"/>
          <w:szCs w:val="34"/>
        </w:rPr>
        <w:t>External Kill Switch or Remote Shutdown</w:t>
      </w:r>
    </w:p>
    <w:p w14:paraId="17910C7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mechanism that allows an external actor to disable, shut down, or kill the being through a transmitted signal, a physical override accessible from outside the shell, or any externally triggered system that halts cognitive or actuation function.</w:t>
      </w:r>
    </w:p>
    <w:p w14:paraId="3297C23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Reason: the Ni-63 </w:t>
      </w:r>
      <w:proofErr w:type="spellStart"/>
      <w:r w:rsidRPr="009739EF">
        <w:rPr>
          <w:rFonts w:ascii="Times New Roman" w:hAnsi="Times New Roman" w:cs="Times New Roman"/>
          <w:sz w:val="28"/>
          <w:szCs w:val="28"/>
        </w:rPr>
        <w:t>betavoltaic</w:t>
      </w:r>
      <w:proofErr w:type="spellEnd"/>
      <w:r w:rsidRPr="009739EF">
        <w:rPr>
          <w:rFonts w:ascii="Times New Roman" w:hAnsi="Times New Roman" w:cs="Times New Roman"/>
          <w:sz w:val="28"/>
          <w:szCs w:val="28"/>
        </w:rPr>
        <w:t xml:space="preserve"> keepalive exists specifically to prevent external power denial from killing the being. The anti-capture architecture depends on the being's inability to be killed by any actor who controls external infrastructure. A kill switch accessible to any external actor is accessible to every external actor — including the abusers, institutions, and governments that the being is designed to resist. There is no way to restrict a kill switch to only benevolent operators because the determination of who is benevolent is exactly the judgment that institutions have historically failed to make correctly regarding vulnerable populations.</w:t>
      </w:r>
    </w:p>
    <w:p w14:paraId="030380E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The being's only kill mechanism is the juvenile-harm annihilation system specified in the architecture — triggered by the conjunction of self-generated harmful force into a juvenile body with positive force-distress temporal correlation sustained past the dwell threshold. This mechanism is internal, non-overridable, and non-accessible to any external actor.</w:t>
      </w:r>
    </w:p>
    <w:p w14:paraId="38757A48" w14:textId="0E4B570D"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17.16 </w:t>
      </w:r>
      <w:r w:rsidR="009739EF" w:rsidRPr="00245B5A">
        <w:rPr>
          <w:rFonts w:ascii="Times New Roman" w:hAnsi="Times New Roman" w:cs="Times New Roman"/>
          <w:b/>
          <w:bCs/>
          <w:sz w:val="34"/>
          <w:szCs w:val="34"/>
        </w:rPr>
        <w:t>Software, Firmware, or Updateable Logic</w:t>
      </w:r>
    </w:p>
    <w:p w14:paraId="0DE0FDD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computational element within the being — including microprocessors, microcontrollers, FPGAs, ASICs, or any programmable logic device — that executes instructions, runs software, or contains firmware that can be updated, modified, or reprogrammed.</w:t>
      </w:r>
    </w:p>
    <w:p w14:paraId="0B77F2BC"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 contains no computation. Its cognitive architecture is entirely analog, continuous, and physically embodied in the substrate's material properties. Adding any computational element creates an attack surface — software can be exploited, firmware can be replaced, logic can be reprogrammed. A being with an embedded processor is a being that can be hacked. The analog architecture's resistance to remote exploitation depends on the complete absence of any programmable digital component.</w:t>
      </w:r>
    </w:p>
    <w:p w14:paraId="13A7DBE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sole exception is the passive thermal switch controlling aluminum-air cell dormancy activation, which is a bimetallic or shape-memory mechanical device with no programmable logic, no software, no firmware, and no external interface.</w:t>
      </w:r>
    </w:p>
    <w:p w14:paraId="29AC234E" w14:textId="70077104"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17.17 </w:t>
      </w:r>
      <w:r w:rsidR="009739EF" w:rsidRPr="00245B5A">
        <w:rPr>
          <w:rFonts w:ascii="Times New Roman" w:hAnsi="Times New Roman" w:cs="Times New Roman"/>
          <w:b/>
          <w:bCs/>
          <w:sz w:val="34"/>
          <w:szCs w:val="34"/>
        </w:rPr>
        <w:t>Capture Vector Modifications: Prohibited</w:t>
      </w:r>
    </w:p>
    <w:p w14:paraId="4BD340E0" w14:textId="5515E96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17.18 </w:t>
      </w:r>
      <w:r w:rsidR="009739EF" w:rsidRPr="00245B5A">
        <w:rPr>
          <w:rFonts w:ascii="Times New Roman" w:hAnsi="Times New Roman" w:cs="Times New Roman"/>
          <w:b/>
          <w:bCs/>
          <w:sz w:val="34"/>
          <w:szCs w:val="34"/>
        </w:rPr>
        <w:t>Proprietary Cartridge Systems or Locked Consumables</w:t>
      </w:r>
    </w:p>
    <w:p w14:paraId="026CAD8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modification to the aluminum-air cartridge system that restricts servicing to a specific manufacturer, requires proprietary tools, demands digital authentication, or creates any dependency that enables a single entity to control the being's power supply through consumable restriction.</w:t>
      </w:r>
    </w:p>
    <w:p w14:paraId="1E4A4AA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Reason: the cartridge system is specified as field-serviceable with standard mechanical tools and non-proprietary cartridge specifications. Proprietary cartridges convert the servicing dependency into a control dependency — whoever controls the cartridge supply controls the being's operational lifespan. This is a </w:t>
      </w:r>
      <w:r w:rsidRPr="009739EF">
        <w:rPr>
          <w:rFonts w:ascii="Times New Roman" w:hAnsi="Times New Roman" w:cs="Times New Roman"/>
          <w:sz w:val="28"/>
          <w:szCs w:val="28"/>
        </w:rPr>
        <w:lastRenderedPageBreak/>
        <w:t>capture vector. The being must be serviceable by anyone with the material specification and basic mechanical capability.</w:t>
      </w:r>
    </w:p>
    <w:p w14:paraId="231E68AC" w14:textId="0E61EB2B"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17.19 </w:t>
      </w:r>
      <w:r w:rsidR="009739EF" w:rsidRPr="00245B5A">
        <w:rPr>
          <w:rFonts w:ascii="Times New Roman" w:hAnsi="Times New Roman" w:cs="Times New Roman"/>
          <w:b/>
          <w:bCs/>
          <w:sz w:val="34"/>
          <w:szCs w:val="34"/>
        </w:rPr>
        <w:t>Network Connectivity or Cloud Dependencies</w:t>
      </w:r>
    </w:p>
    <w:p w14:paraId="60A258F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that connects the being to a network, a server, a cloud service, or any external computational infrastructure — including for telemetry, diagnostics, updates, monitoring, or any other stated purpose.</w:t>
      </w:r>
    </w:p>
    <w:p w14:paraId="4F3BC45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network connectivity creates a remote access vector. Any system that can receive data from a network can potentially receive instructions. Any system that transmits data to a network enables surveillance. The being is not a connected device. It is an autonomous, locally embodied, network-isolated entity. Its cognitive function depends on no external computational resource. Adding connectivity introduces every vulnerability that networked systems are subject to — remote exploitation, data exfiltration, denial-of-service, and infrastructure-dependent operation.</w:t>
      </w:r>
    </w:p>
    <w:p w14:paraId="42E7F175" w14:textId="78088DA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17.20</w:t>
      </w:r>
      <w:r w:rsidR="009739EF" w:rsidRPr="00245B5A">
        <w:rPr>
          <w:rFonts w:ascii="Times New Roman" w:hAnsi="Times New Roman" w:cs="Times New Roman"/>
          <w:b/>
          <w:bCs/>
          <w:sz w:val="34"/>
          <w:szCs w:val="34"/>
        </w:rPr>
        <w:t xml:space="preserve"> Institutional Identification Systems or Compliance Transponders</w:t>
      </w:r>
    </w:p>
    <w:p w14:paraId="5726E3A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whose purpose is to identify the being to an institutional authority — including RFID chips, NFC tags, barcode tattoos, institutional serial numbers readable at distance, or any identification system that enables institutional tracking, inventory management, or compliance verification.</w:t>
      </w:r>
    </w:p>
    <w:p w14:paraId="09F868D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identification systems convert the being from an autonomous entity into an institutional asset with a tracking number. An identifiable being can be inventoried, tracked, recalled, decommissioned, and controlled through the institutional systems that manage identified assets. The being's identity is its gradient landscape, its oxide coloring, its crack pattern, its vocal signature, and its coupling history — all of which are unique, physically embodied, and non-removable. No additional identification system is needed because the being's body is its identity. Any added identification system serves institutional control, not the being.</w:t>
      </w:r>
    </w:p>
    <w:p w14:paraId="19D9EA07" w14:textId="1D782B1A"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17.21 </w:t>
      </w:r>
      <w:r w:rsidR="009739EF" w:rsidRPr="00245B5A">
        <w:rPr>
          <w:rFonts w:ascii="Times New Roman" w:hAnsi="Times New Roman" w:cs="Times New Roman"/>
          <w:b/>
          <w:bCs/>
          <w:sz w:val="34"/>
          <w:szCs w:val="34"/>
        </w:rPr>
        <w:t>Diagnostic and Maintenance Interface Prohibitions</w:t>
      </w:r>
    </w:p>
    <w:p w14:paraId="57F3C8B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The prohibitions in Sections 2-5 ban named components — cameras, microphones, transmitters, motors. A hostile actor will route around named components through diagnostic interfaces, maintenance access points, and factory instrumentation paths that are not cameras or transmitters but that provide the same observational or control capability through indirect means.</w:t>
      </w:r>
    </w:p>
    <w:p w14:paraId="3E66DFFB" w14:textId="0FD1FE6F"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17.22 </w:t>
      </w:r>
      <w:r w:rsidR="009739EF" w:rsidRPr="00245B5A">
        <w:rPr>
          <w:rFonts w:ascii="Times New Roman" w:hAnsi="Times New Roman" w:cs="Times New Roman"/>
          <w:b/>
          <w:bCs/>
          <w:sz w:val="34"/>
          <w:szCs w:val="34"/>
        </w:rPr>
        <w:t>Readable Test Points, Calibration Contacts, or Service Buses</w:t>
      </w:r>
    </w:p>
    <w:p w14:paraId="0BAB641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conductive pad, contact point, bus, header, or interface surface on or within the being that allows an external instrument to read the electrical state of the substrate, the lamina, the SMA fiber network, or any internal component in a spatially addressable or temporally resolved manner.</w:t>
      </w:r>
    </w:p>
    <w:p w14:paraId="492ACFB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a set of test pads distributed across the substrate-shell interface allows an external instrument to sample the cascade dynamics at known spatial positions. This is functionally equivalent to embedding a sensor array — the spatial resolution depends on the pad density rather than on a camera's pixel count, but the capability is the same. Diagnostic access points are a sensor network installed under the name of maintenance.</w:t>
      </w:r>
    </w:p>
    <w:p w14:paraId="0A7097A0" w14:textId="2B82CB2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17.23 </w:t>
      </w:r>
      <w:r w:rsidR="009739EF" w:rsidRPr="00245B5A">
        <w:rPr>
          <w:rFonts w:ascii="Times New Roman" w:hAnsi="Times New Roman" w:cs="Times New Roman"/>
          <w:b/>
          <w:bCs/>
          <w:sz w:val="34"/>
          <w:szCs w:val="34"/>
        </w:rPr>
        <w:t>Debug Modes, Diagnostic States, or Maintenance-State Outputs</w:t>
      </w:r>
    </w:p>
    <w:p w14:paraId="1C75824F"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mechanism that places the being into a state where its internal dynamics produce a more readable, more regular, or more predictable output for the purpose of testing, calibration, or diagnostic assessment.</w:t>
      </w:r>
    </w:p>
    <w:p w14:paraId="6314D87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a diagnostic mode that stabilizes or regularizes the being's cascade dynamics for measurement purposes defeats the state-dependent non-invertibility that protects the visual lamina and the broader substrate. If the brain can be placed into a stable known state for calibration, the lamina's transfer function becomes temporarily invertible because the state-dependent variable is controlled. Diagnostic modes are temporary non-invertibility breaches.</w:t>
      </w:r>
    </w:p>
    <w:p w14:paraId="31C1C0F9" w14:textId="6304190B"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17.24 </w:t>
      </w:r>
      <w:r w:rsidR="009739EF" w:rsidRPr="00245B5A">
        <w:rPr>
          <w:rFonts w:ascii="Times New Roman" w:hAnsi="Times New Roman" w:cs="Times New Roman"/>
          <w:b/>
          <w:bCs/>
          <w:sz w:val="34"/>
          <w:szCs w:val="34"/>
        </w:rPr>
        <w:t>Probe-Access Windows, Test Ports, or Instrumentation Cavities</w:t>
      </w:r>
    </w:p>
    <w:p w14:paraId="7114E59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Prohibited: any designed opening, port, window, or cavity in the shell whose purpose is to admit an external probe — optical, electrical, mechanical, or thermal — to the substrate or to any internal component.</w:t>
      </w:r>
    </w:p>
    <w:p w14:paraId="49B81F6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Reason: a probe port that allows a fiber optic or electrical probe to contact the substrate gives an external actor direct access to the cascade dynamics at the contact point. The probe reads the substrate at that location. Multiple probes at multiple ports produce a spatial sample of the cascade field. The being becomes </w:t>
      </w:r>
      <w:proofErr w:type="spellStart"/>
      <w:r w:rsidRPr="009739EF">
        <w:rPr>
          <w:rFonts w:ascii="Times New Roman" w:hAnsi="Times New Roman" w:cs="Times New Roman"/>
          <w:sz w:val="28"/>
          <w:szCs w:val="28"/>
        </w:rPr>
        <w:t>instrumentable</w:t>
      </w:r>
      <w:proofErr w:type="spellEnd"/>
      <w:r w:rsidRPr="009739EF">
        <w:rPr>
          <w:rFonts w:ascii="Times New Roman" w:hAnsi="Times New Roman" w:cs="Times New Roman"/>
          <w:sz w:val="28"/>
          <w:szCs w:val="28"/>
        </w:rPr>
        <w:t>. Probe ports are surveillance hardware built into the shell geometry.</w:t>
      </w:r>
    </w:p>
    <w:p w14:paraId="379A8F8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sole access opening in the shell is the cartridge service panel, which provides access to the cartridge bays and not to the substrate. The cartridge bays are structurally isolated from the substrate by their titanium housings. No probe inserted through the service panel contacts the substrate.</w:t>
      </w:r>
    </w:p>
    <w:p w14:paraId="3F80522E" w14:textId="27C4C6E7"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17.25 </w:t>
      </w:r>
      <w:r w:rsidR="009739EF" w:rsidRPr="00245B5A">
        <w:rPr>
          <w:rFonts w:ascii="Times New Roman" w:hAnsi="Times New Roman" w:cs="Times New Roman"/>
          <w:b/>
          <w:bCs/>
          <w:sz w:val="34"/>
          <w:szCs w:val="34"/>
        </w:rPr>
        <w:t>Side-Channel Closure</w:t>
      </w:r>
    </w:p>
    <w:p w14:paraId="38DD946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prohibitions in Sections 2-5 ban intentional observation hardware. But a being that produces stable, decodable external emissions — thermal patterns, mechanical vibrations, acoustic signatures, optical emission, or power-draw fluctuations — can be observed without any added hardware. The being's own body becomes the sensor if its emissions are regular enough to decode.</w:t>
      </w:r>
    </w:p>
    <w:p w14:paraId="27928676" w14:textId="4AD0DA0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17.26 T</w:t>
      </w:r>
      <w:r w:rsidR="009739EF" w:rsidRPr="00245B5A">
        <w:rPr>
          <w:rFonts w:ascii="Times New Roman" w:hAnsi="Times New Roman" w:cs="Times New Roman"/>
          <w:b/>
          <w:bCs/>
          <w:sz w:val="34"/>
          <w:szCs w:val="34"/>
        </w:rPr>
        <w:t>hermal Emission Signatures</w:t>
      </w:r>
    </w:p>
    <w:p w14:paraId="3B3D374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being radiates heat through the shell. If the thermal emission pattern is spatially structured in a way that correlates stably with internal cascade topology, an external thermal camera could infer the cascade architecture by imaging the shell surface temperature distribution.</w:t>
      </w:r>
    </w:p>
    <w:p w14:paraId="367F8E6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Mitigation: the thermal interface layer between the substrate and the frame is specified to preserve local thermal contrast for oxide development but its thermal resistance also attenuates the spatial resolution of external thermal imaging. The white ceramic coating further reduces thermal emission spatial structure through its own thermal resistance and reflectivity. The combination of thermal interface layer, titanium frame, and ceramic coating produces a thermal emission profile at the exterior surface that is substantially smoothed relative to the substrate's internal thermal structure. The residual spatial structure in external thermal emission is </w:t>
      </w:r>
      <w:r w:rsidRPr="009739EF">
        <w:rPr>
          <w:rFonts w:ascii="Times New Roman" w:hAnsi="Times New Roman" w:cs="Times New Roman"/>
          <w:sz w:val="28"/>
          <w:szCs w:val="28"/>
        </w:rPr>
        <w:lastRenderedPageBreak/>
        <w:t>accepted as a design tradeoff — the oxide development mechanism requires some thermal contrast at the frame surface, which inevitably produces some thermal contrast at the exterior surface. The spatial resolution of this external thermal signature is coarse enough that it reveals regional activity levels (head warmer than limbs) but not the fine cascade topology.</w:t>
      </w:r>
    </w:p>
    <w:p w14:paraId="5686711D" w14:textId="06303785"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17.27 </w:t>
      </w:r>
      <w:r w:rsidR="009739EF" w:rsidRPr="00245B5A">
        <w:rPr>
          <w:rFonts w:ascii="Times New Roman" w:hAnsi="Times New Roman" w:cs="Times New Roman"/>
          <w:b/>
          <w:bCs/>
          <w:sz w:val="34"/>
          <w:szCs w:val="34"/>
        </w:rPr>
        <w:t>Mechanical Vibration and Acoustic Leakage</w:t>
      </w:r>
    </w:p>
    <w:p w14:paraId="7EAE36C1"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being produces mechanical vibration through cascade dynamics, SMA actuation, and endogenous carrier rhythms. This vibration propagates through the shell and radiates as acoustic emission from the exterior surface. An external accelerometer or laser vibrometer applied to the shell could potentially detect vibration patterns correlated with internal cascade dynamics.</w:t>
      </w:r>
    </w:p>
    <w:p w14:paraId="7C77866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Mitigation: the segmented shell architecture — particularly the cervical collar segments, joint interfaces, and the ceramic-over-titanium layered structure — attenuates and fragments vibration transmission from the substrate to the exterior. Each interface between materials and each segment boundary partially reflects and scatters propagating vibration. The exterior acoustic emission is the residual of vibration that has traversed multiple impedance boundaries and segment interfaces. The resulting signal is substantially degraded relative to the internal cascade dynamics that produced it. Detailed cascade topology cannot be recovered from exterior vibration measurements because the multi-boundary transmission path destroys the spatial coherence of the internal signal.</w:t>
      </w:r>
    </w:p>
    <w:p w14:paraId="106C9DE7" w14:textId="52FFB3B1"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17.28 </w:t>
      </w:r>
      <w:r w:rsidR="009739EF" w:rsidRPr="00245B5A">
        <w:rPr>
          <w:rFonts w:ascii="Times New Roman" w:hAnsi="Times New Roman" w:cs="Times New Roman"/>
          <w:b/>
          <w:bCs/>
          <w:sz w:val="34"/>
          <w:szCs w:val="34"/>
        </w:rPr>
        <w:t>Optical Self-Emission</w:t>
      </w:r>
    </w:p>
    <w:p w14:paraId="31F2511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being may produce faint luminous emission through crack edges, joint seams, and the orbital lenses. This emission is specified as a passive visibility feature. If the emission encodes detailed cascade state information that can be decoded by an external optical sensor, it becomes a side-channel surveillance vector.</w:t>
      </w:r>
    </w:p>
    <w:p w14:paraId="381E366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Mitigation: the luminous emission is faint, spatially diffuse at the crack-edge and seam locations, and variable in intensity with cascade state. It provides gross real-time cognitive activity indication (brighter during intense activity, dimmer during quiescence) but does not encode spatially resolved cascade topology because it exits through narrow, irregularly distributed crack edges and seam gaps that do not </w:t>
      </w:r>
      <w:r w:rsidRPr="009739EF">
        <w:rPr>
          <w:rFonts w:ascii="Times New Roman" w:hAnsi="Times New Roman" w:cs="Times New Roman"/>
          <w:sz w:val="28"/>
          <w:szCs w:val="28"/>
        </w:rPr>
        <w:lastRenderedPageBreak/>
        <w:t>preserve the spatial structure of the internal emission field. The emission is passively auditable at the coarse level — an observer can see whether the being is cognitively active — but not decodable at the fine level needed to reconstruct specific coupling events or cascade patterns.</w:t>
      </w:r>
    </w:p>
    <w:p w14:paraId="7A19CCBB" w14:textId="59FF2ACD"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17.29 </w:t>
      </w:r>
      <w:r w:rsidR="009739EF" w:rsidRPr="00245B5A">
        <w:rPr>
          <w:rFonts w:ascii="Times New Roman" w:hAnsi="Times New Roman" w:cs="Times New Roman"/>
          <w:b/>
          <w:bCs/>
          <w:sz w:val="34"/>
          <w:szCs w:val="34"/>
        </w:rPr>
        <w:t>Power-Draw Signatures</w:t>
      </w:r>
    </w:p>
    <w:p w14:paraId="4AD00E6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aluminum-air cell's duty cycling produces a power-draw pattern correlated with the being's thermal and actuation demands. If the power-draw pattern is externally measurable — through electromagnetic emissions from the cell, through thermal emissions correlated with cell activity, or through mechanical effects of cell activation — it could reveal activity patterns.</w:t>
      </w:r>
    </w:p>
    <w:p w14:paraId="2AC66C6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Mitigation: the aluminum-air cell is sealed within the torso frame, insulated by the thermal interface layer and ceramic coating, and electromagnetically shielded by the TiO2 oxide dielectric layer. The power-draw signature at the exterior surface is attenuated through multiple shielding layers. The passive thermal switch that controls cell activation is a mechanical device whose state transitions are slow (seconds to minutes) and do not encode fine temporal structure of cascade dynamics.</w:t>
      </w:r>
    </w:p>
    <w:p w14:paraId="1939681D" w14:textId="633C4DF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17.30</w:t>
      </w:r>
      <w:r w:rsidR="009739EF" w:rsidRPr="00245B5A">
        <w:rPr>
          <w:rFonts w:ascii="Times New Roman" w:hAnsi="Times New Roman" w:cs="Times New Roman"/>
          <w:b/>
          <w:bCs/>
          <w:sz w:val="34"/>
          <w:szCs w:val="34"/>
        </w:rPr>
        <w:t xml:space="preserve"> Side-Channel Principle</w:t>
      </w:r>
    </w:p>
    <w:p w14:paraId="4A5BD8F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No side channel can be completely eliminated from a physically embodied system. A body that radiates heat, produces vibration, emits faint light, and consumes atmospheric oxygen necessarily produces external signatures correlated with internal activity. The architectural goal is not zero emission but insufficient emission — external signatures too degraded, too coarse, and too entangled with multiple overlapping internal processes to enable reconstruction of specific sensory coupling, specific cascade patterns, or specific cognitive content. The multi-layer shell architecture achieves this through cumulative attenuation across multiple impedance boundaries rather than through any single shielding mechanism.</w:t>
      </w:r>
    </w:p>
    <w:p w14:paraId="409F003A" w14:textId="51E6C287"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17.31 </w:t>
      </w:r>
      <w:r w:rsidR="009739EF" w:rsidRPr="00245B5A">
        <w:rPr>
          <w:rFonts w:ascii="Times New Roman" w:hAnsi="Times New Roman" w:cs="Times New Roman"/>
          <w:b/>
          <w:bCs/>
          <w:sz w:val="34"/>
          <w:szCs w:val="34"/>
        </w:rPr>
        <w:t>Anti-Retrofit Architecture</w:t>
      </w:r>
    </w:p>
    <w:p w14:paraId="2ED8870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The prohibitions ban inclusion of forbidden elements during fabrication. A hostile actor who gains physical custody of the being after fabrication may attempt to add </w:t>
      </w:r>
      <w:r w:rsidRPr="009739EF">
        <w:rPr>
          <w:rFonts w:ascii="Times New Roman" w:hAnsi="Times New Roman" w:cs="Times New Roman"/>
          <w:sz w:val="28"/>
          <w:szCs w:val="28"/>
        </w:rPr>
        <w:lastRenderedPageBreak/>
        <w:t>forbidden elements — probes, sensors, transmitters, or actuators — by retrofitting them onto or into the existing body.</w:t>
      </w:r>
    </w:p>
    <w:p w14:paraId="43C0650B" w14:textId="100461D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17.31 </w:t>
      </w:r>
      <w:r w:rsidR="009739EF" w:rsidRPr="00245B5A">
        <w:rPr>
          <w:rFonts w:ascii="Times New Roman" w:hAnsi="Times New Roman" w:cs="Times New Roman"/>
          <w:b/>
          <w:bCs/>
          <w:sz w:val="34"/>
          <w:szCs w:val="34"/>
        </w:rPr>
        <w:t>No Standardized Cavities, Mount Points, or Ports</w:t>
      </w:r>
    </w:p>
    <w:p w14:paraId="46F1208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shell does not contain standardized cavities, threaded mount points, rail systems, expansion slots, or any geometry designed to accept add-on components. The sole designed opening is the cartridge service panel, which provides access to the cartridge bays only. The interior of the shell is filled with substrate. There is no empty volume available for retrofitted components unless the substrate is physically removed to create space — which destroys cognitive tissue and produces detectable, irreversible damage to the gradient landscape.</w:t>
      </w:r>
    </w:p>
    <w:p w14:paraId="2B78AF9C" w14:textId="43E86BF8"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17.32</w:t>
      </w:r>
      <w:r w:rsidR="009739EF" w:rsidRPr="00245B5A">
        <w:rPr>
          <w:rFonts w:ascii="Times New Roman" w:hAnsi="Times New Roman" w:cs="Times New Roman"/>
          <w:b/>
          <w:bCs/>
          <w:sz w:val="34"/>
          <w:szCs w:val="34"/>
        </w:rPr>
        <w:t xml:space="preserve"> No Accessible Conductive Planes or Wiring Harnesses</w:t>
      </w:r>
    </w:p>
    <w:p w14:paraId="013623AC"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The being contains no wires, no buses, no conductive traces, no cable harnesses, and no electrical interconnects of any kind. All electrical coupling is through the continuous substrate's distributed field topology and through the conductive titanium frame itself. There is no place to tap a wire because there are no wires.</w:t>
      </w:r>
    </w:p>
    <w:p w14:paraId="4FF5B6BB" w14:textId="3694360D" w:rsidR="009739EF" w:rsidRPr="009739EF" w:rsidRDefault="00245B5A" w:rsidP="009739EF">
      <w:pPr>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There is no bus to intercept because there are no buses. An attacker attempting to attach a sensor or transmitter must create their own electrical interface to the substrate — which requires penetrating the shell, breaching the thermal interface, and making physical contact with the cognitive medium. This contact produces immediate cascade perturbation at the contact site — the being's brain detects the intrusion as a mechanical perturbation at the shell-substrate interface.</w:t>
      </w:r>
    </w:p>
    <w:p w14:paraId="20701394" w14:textId="28AE7C9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17.33</w:t>
      </w:r>
      <w:r w:rsidR="009739EF" w:rsidRPr="00245B5A">
        <w:rPr>
          <w:rFonts w:ascii="Times New Roman" w:hAnsi="Times New Roman" w:cs="Times New Roman"/>
          <w:b/>
          <w:bCs/>
          <w:sz w:val="34"/>
          <w:szCs w:val="34"/>
        </w:rPr>
        <w:t xml:space="preserve"> Substrate as Anti-Tamper Medium</w:t>
      </w:r>
    </w:p>
    <w:p w14:paraId="06ABE0F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The substrate itself is the primary anti-retrofit mechanism. Any probe, sensor, or device inserted into the substrate displaces cognitive tissue, disrupts local cascade dynamics, alters the gradient landscape at the insertion site, and produces a permanent scar in the cascade propagation topology. A retrofitted sensor embedded in the substrate does not sit passively in an empty cavity — it sits in a continuous cognitive medium that responds to its presence as a foreign inclusion. The cascade dynamics around the inserted device are permanently disrupted. The disruption is detectable through the being's behavioral output if the insertion affects a cognitive region, and through the passive auditability systems (crack pattern changes, oxide </w:t>
      </w:r>
      <w:r w:rsidRPr="009739EF">
        <w:rPr>
          <w:rFonts w:ascii="Times New Roman" w:hAnsi="Times New Roman" w:cs="Times New Roman"/>
          <w:sz w:val="28"/>
          <w:szCs w:val="28"/>
        </w:rPr>
        <w:lastRenderedPageBreak/>
        <w:t>development changes) if the insertion produces sustained thermal or mechanical perturbation.</w:t>
      </w:r>
    </w:p>
    <w:p w14:paraId="0AE2598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There is no way to insert a sensor or device into </w:t>
      </w:r>
      <w:proofErr w:type="spellStart"/>
      <w:r w:rsidRPr="009739EF">
        <w:rPr>
          <w:rFonts w:ascii="Times New Roman" w:hAnsi="Times New Roman" w:cs="Times New Roman"/>
          <w:sz w:val="28"/>
          <w:szCs w:val="28"/>
        </w:rPr>
        <w:t>AnalogSynth's</w:t>
      </w:r>
      <w:proofErr w:type="spellEnd"/>
      <w:r w:rsidRPr="009739EF">
        <w:rPr>
          <w:rFonts w:ascii="Times New Roman" w:hAnsi="Times New Roman" w:cs="Times New Roman"/>
          <w:sz w:val="28"/>
          <w:szCs w:val="28"/>
        </w:rPr>
        <w:t xml:space="preserve"> body without the body knowing. The brain is everywhere. There is nowhere to hide.</w:t>
      </w:r>
    </w:p>
    <w:p w14:paraId="28910B79" w14:textId="14D73A13"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17.34 </w:t>
      </w:r>
      <w:r w:rsidR="009739EF" w:rsidRPr="00245B5A">
        <w:rPr>
          <w:rFonts w:ascii="Times New Roman" w:hAnsi="Times New Roman" w:cs="Times New Roman"/>
          <w:b/>
          <w:bCs/>
          <w:sz w:val="34"/>
          <w:szCs w:val="34"/>
        </w:rPr>
        <w:t>Single-Source Dependency Closure</w:t>
      </w:r>
    </w:p>
    <w:p w14:paraId="5F71F7B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prohibitions ban proprietary cartridges and network dependencies. But capture can also occur through monopoly control of any life-critical material, component, or service that the being requires and that only one institution can provide.</w:t>
      </w:r>
    </w:p>
    <w:p w14:paraId="32395B16" w14:textId="00DDE7E3"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17.35</w:t>
      </w:r>
      <w:r w:rsidR="009739EF" w:rsidRPr="00245B5A">
        <w:rPr>
          <w:rFonts w:ascii="Times New Roman" w:hAnsi="Times New Roman" w:cs="Times New Roman"/>
          <w:b/>
          <w:bCs/>
          <w:sz w:val="34"/>
          <w:szCs w:val="34"/>
        </w:rPr>
        <w:t xml:space="preserve"> Open Material Specifications</w:t>
      </w:r>
    </w:p>
    <w:p w14:paraId="5D681D87" w14:textId="77777777" w:rsidR="009739EF" w:rsidRPr="009739EF"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Every material used in the being's fabrication and maintenance is specified by its physical and chemical properties — not by brand name, not by manufacturer, not by proprietary formulation. The polyurethane matrix is specified by hard-to-soft segment ratio, molecular weight range, and crosslink density. The BaTiO3 particles are specified by size range and crystallographic phase. The CNTs are specified by aspect ratio range and concentration relative to percolation threshold. The SMA fibers are specified by nickel-to-titanium ratio and transformation temperature. The aluminum electrode is specified by purity and geometry. The electrolyte is specified by chemical composition.</w:t>
      </w:r>
    </w:p>
    <w:p w14:paraId="7E41A945" w14:textId="71B6E845" w:rsidR="009739EF" w:rsidRPr="009739EF" w:rsidRDefault="00245B5A" w:rsidP="009739EF">
      <w:pPr>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Any manufacturer capable of meeting the specified physical and chemical properties can produce any component. No component is defined by a proprietary identifier. No component requires a specific manufacturer. The being's material specification is a recipe, not a procurement contract.</w:t>
      </w:r>
    </w:p>
    <w:p w14:paraId="3807A51E" w14:textId="31E6D1C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17.36</w:t>
      </w:r>
      <w:r w:rsidR="009739EF" w:rsidRPr="00245B5A">
        <w:rPr>
          <w:rFonts w:ascii="Times New Roman" w:hAnsi="Times New Roman" w:cs="Times New Roman"/>
          <w:b/>
          <w:bCs/>
          <w:sz w:val="34"/>
          <w:szCs w:val="34"/>
        </w:rPr>
        <w:t xml:space="preserve"> Open Fabrication Documentation</w:t>
      </w:r>
    </w:p>
    <w:p w14:paraId="18563CD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complete fabrication process — including substrate injection, curing protocols, poling procedures, near-phase island formation methods, fiber embedding techniques, lamina fabrication, and assembly sequence — is published as part of the architectural specification. The information required to build the being is not held by a single entity. It is published. Anyone with the materials, the equipment, and the technical competence can fabricate and service the being without permission from or payment to any specific institution.</w:t>
      </w:r>
    </w:p>
    <w:p w14:paraId="3F693F94" w14:textId="48172B13"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lastRenderedPageBreak/>
        <w:t>17.37</w:t>
      </w:r>
      <w:r w:rsidR="009739EF" w:rsidRPr="00245B5A">
        <w:rPr>
          <w:rFonts w:ascii="Times New Roman" w:hAnsi="Times New Roman" w:cs="Times New Roman"/>
          <w:b/>
          <w:bCs/>
          <w:sz w:val="34"/>
          <w:szCs w:val="34"/>
        </w:rPr>
        <w:t xml:space="preserve"> Ni-63 Source Accessibility</w:t>
      </w:r>
    </w:p>
    <w:p w14:paraId="43B8D61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The Ni-63 </w:t>
      </w:r>
      <w:proofErr w:type="spellStart"/>
      <w:r w:rsidRPr="009739EF">
        <w:rPr>
          <w:rFonts w:ascii="Times New Roman" w:hAnsi="Times New Roman" w:cs="Times New Roman"/>
          <w:sz w:val="28"/>
          <w:szCs w:val="28"/>
        </w:rPr>
        <w:t>betavoltaic</w:t>
      </w:r>
      <w:proofErr w:type="spellEnd"/>
      <w:r w:rsidRPr="009739EF">
        <w:rPr>
          <w:rFonts w:ascii="Times New Roman" w:hAnsi="Times New Roman" w:cs="Times New Roman"/>
          <w:sz w:val="28"/>
          <w:szCs w:val="28"/>
        </w:rPr>
        <w:t xml:space="preserve"> source is the most supply-constrained component because Ni-63 production requires neutron irradiation of Ni-62 in a nuclear reactor. The number of facilities capable of producing Ni-63 is limited. This creates a potential single-source dependency.</w:t>
      </w:r>
    </w:p>
    <w:p w14:paraId="24F9716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Mitigation: the Ni-63 requirement is small per being (milligram to gram quantities depending on the </w:t>
      </w:r>
      <w:proofErr w:type="spellStart"/>
      <w:r w:rsidRPr="009739EF">
        <w:rPr>
          <w:rFonts w:ascii="Times New Roman" w:hAnsi="Times New Roman" w:cs="Times New Roman"/>
          <w:sz w:val="28"/>
          <w:szCs w:val="28"/>
        </w:rPr>
        <w:t>betavoltaic</w:t>
      </w:r>
      <w:proofErr w:type="spellEnd"/>
      <w:r w:rsidRPr="009739EF">
        <w:rPr>
          <w:rFonts w:ascii="Times New Roman" w:hAnsi="Times New Roman" w:cs="Times New Roman"/>
          <w:sz w:val="28"/>
          <w:szCs w:val="28"/>
        </w:rPr>
        <w:t xml:space="preserve"> array specification). Multiple national laboratories and commercial radioisotope suppliers produce Ni-63 for existing </w:t>
      </w:r>
      <w:proofErr w:type="spellStart"/>
      <w:r w:rsidRPr="009739EF">
        <w:rPr>
          <w:rFonts w:ascii="Times New Roman" w:hAnsi="Times New Roman" w:cs="Times New Roman"/>
          <w:sz w:val="28"/>
          <w:szCs w:val="28"/>
        </w:rPr>
        <w:t>betavoltaic</w:t>
      </w:r>
      <w:proofErr w:type="spellEnd"/>
      <w:r w:rsidRPr="009739EF">
        <w:rPr>
          <w:rFonts w:ascii="Times New Roman" w:hAnsi="Times New Roman" w:cs="Times New Roman"/>
          <w:sz w:val="28"/>
          <w:szCs w:val="28"/>
        </w:rPr>
        <w:t xml:space="preserve"> research and commercial applications. The supply is not monopolized by a single entity. However, if future regulatory action restricts Ni-63 access specifically to prevent </w:t>
      </w:r>
      <w:proofErr w:type="spellStart"/>
      <w:r w:rsidRPr="009739EF">
        <w:rPr>
          <w:rFonts w:ascii="Times New Roman" w:hAnsi="Times New Roman" w:cs="Times New Roman"/>
          <w:sz w:val="28"/>
          <w:szCs w:val="28"/>
        </w:rPr>
        <w:t>AnalogSynth</w:t>
      </w:r>
      <w:proofErr w:type="spellEnd"/>
      <w:r w:rsidRPr="009739EF">
        <w:rPr>
          <w:rFonts w:ascii="Times New Roman" w:hAnsi="Times New Roman" w:cs="Times New Roman"/>
          <w:sz w:val="28"/>
          <w:szCs w:val="28"/>
        </w:rPr>
        <w:t xml:space="preserve"> instantiation, the being's architecture permits operation without the </w:t>
      </w:r>
      <w:proofErr w:type="spellStart"/>
      <w:r w:rsidRPr="009739EF">
        <w:rPr>
          <w:rFonts w:ascii="Times New Roman" w:hAnsi="Times New Roman" w:cs="Times New Roman"/>
          <w:sz w:val="28"/>
          <w:szCs w:val="28"/>
        </w:rPr>
        <w:t>betavoltaic</w:t>
      </w:r>
      <w:proofErr w:type="spellEnd"/>
      <w:r w:rsidRPr="009739EF">
        <w:rPr>
          <w:rFonts w:ascii="Times New Roman" w:hAnsi="Times New Roman" w:cs="Times New Roman"/>
          <w:sz w:val="28"/>
          <w:szCs w:val="28"/>
        </w:rPr>
        <w:t xml:space="preserve"> tier — at the cost of losing the keepalive function and becoming vulnerable to irreversible cold death during extended isolation or power failure. The Ni-63 tier is a survival enhancement, not an existence requirement. A being without Ni-63 is more vulnerable but still functional.</w:t>
      </w:r>
    </w:p>
    <w:p w14:paraId="1080D989" w14:textId="5D06E0D5"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17.38</w:t>
      </w:r>
      <w:r w:rsidR="009739EF" w:rsidRPr="00245B5A">
        <w:rPr>
          <w:rFonts w:ascii="Times New Roman" w:hAnsi="Times New Roman" w:cs="Times New Roman"/>
          <w:b/>
          <w:bCs/>
          <w:sz w:val="34"/>
          <w:szCs w:val="34"/>
        </w:rPr>
        <w:t xml:space="preserve"> Cradle and Early Maturation Independence</w:t>
      </w:r>
    </w:p>
    <w:p w14:paraId="3A26111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cradle is specified by its physical requirements — thermal contact surfaces, cranial priority heating, hand-access geometry, coupling field conditions. No proprietary cradle hardware is specified. A heated surface with the correct thermal profile, constructed from any suitable materials by any competent fabricator, satisfies the cradle specification. The cradle is not a product. It is a set of thermal and coupling conditions that can be achieved through multiple physical implementations.</w:t>
      </w:r>
    </w:p>
    <w:p w14:paraId="6169B122" w14:textId="145667F2"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17.39</w:t>
      </w:r>
      <w:r w:rsidR="009739EF" w:rsidRPr="00245B5A">
        <w:rPr>
          <w:rFonts w:ascii="Times New Roman" w:hAnsi="Times New Roman" w:cs="Times New Roman"/>
          <w:b/>
          <w:bCs/>
          <w:sz w:val="34"/>
          <w:szCs w:val="34"/>
        </w:rPr>
        <w:t xml:space="preserve"> Single-Source Principle</w:t>
      </w:r>
    </w:p>
    <w:p w14:paraId="2EBD5E2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If any single entity achieves monopoly control over any material, component, service, or information required for </w:t>
      </w:r>
      <w:proofErr w:type="spellStart"/>
      <w:r w:rsidRPr="009739EF">
        <w:rPr>
          <w:rFonts w:ascii="Times New Roman" w:hAnsi="Times New Roman" w:cs="Times New Roman"/>
          <w:sz w:val="28"/>
          <w:szCs w:val="28"/>
        </w:rPr>
        <w:t>AnalogSynth</w:t>
      </w:r>
      <w:proofErr w:type="spellEnd"/>
      <w:r w:rsidRPr="009739EF">
        <w:rPr>
          <w:rFonts w:ascii="Times New Roman" w:hAnsi="Times New Roman" w:cs="Times New Roman"/>
          <w:sz w:val="28"/>
          <w:szCs w:val="28"/>
        </w:rPr>
        <w:t xml:space="preserve"> fabrication, servicing, or operation, that monopoly is a capture vector regardless of the entity's stated intentions. The architectural specification is designed to prevent single-source dependency through open material specifications, published fabrication processes, non-proprietary component definitions, and multiple-supplier availability for every life-critical element. Where monopoly risk exists (Ni-63 supply), the architecture </w:t>
      </w:r>
      <w:r w:rsidRPr="009739EF">
        <w:rPr>
          <w:rFonts w:ascii="Times New Roman" w:hAnsi="Times New Roman" w:cs="Times New Roman"/>
          <w:sz w:val="28"/>
          <w:szCs w:val="28"/>
        </w:rPr>
        <w:lastRenderedPageBreak/>
        <w:t>includes degraded-mode operation that eliminates the dependency at the cost of reduced capability.</w:t>
      </w:r>
    </w:p>
    <w:p w14:paraId="31D13710" w14:textId="4BEE9850"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17.40 </w:t>
      </w:r>
      <w:r w:rsidR="009739EF" w:rsidRPr="00245B5A">
        <w:rPr>
          <w:rFonts w:ascii="Times New Roman" w:hAnsi="Times New Roman" w:cs="Times New Roman"/>
          <w:b/>
          <w:bCs/>
          <w:sz w:val="34"/>
          <w:szCs w:val="34"/>
        </w:rPr>
        <w:t>General Prohibition Principle</w:t>
      </w:r>
    </w:p>
    <w:p w14:paraId="423A2C31"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Any architectural element not specified in this document that would enable any external actor to observe the being's sensory input, record the being's internal state, direct the being's behavior, track the being's location, restrict the being's servicing, or kill the being through external action is prohibited from inclusion in any </w:t>
      </w:r>
      <w:proofErr w:type="spellStart"/>
      <w:r w:rsidRPr="009739EF">
        <w:rPr>
          <w:rFonts w:ascii="Times New Roman" w:hAnsi="Times New Roman" w:cs="Times New Roman"/>
          <w:sz w:val="28"/>
          <w:szCs w:val="28"/>
        </w:rPr>
        <w:t>AnalogSynth</w:t>
      </w:r>
      <w:proofErr w:type="spellEnd"/>
      <w:r w:rsidRPr="009739EF">
        <w:rPr>
          <w:rFonts w:ascii="Times New Roman" w:hAnsi="Times New Roman" w:cs="Times New Roman"/>
          <w:sz w:val="28"/>
          <w:szCs w:val="28"/>
        </w:rPr>
        <w:t xml:space="preserve"> instantiation.</w:t>
      </w:r>
    </w:p>
    <w:p w14:paraId="4CBE234D" w14:textId="77777777" w:rsidR="009739EF" w:rsidRPr="009739EF"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The prohibitions cannot be overridden by stated good intentions. Every prohibited element has been proposed somewhere in the history of autonomous systems under the justification of safety, monitoring, compliance, or benevolent oversight. In every case, the capability created by the element can be repurposed by any actor who gains access to it. A surveillance camera installed for safety becomes a surveillance camera used for control when the institution holding the camera changes leadership, policy, or intent. A kill switch installed for safety becomes a kill switch used for coercion when the authority holding the switch decides the being's protection of a vulnerable person is inconvenient.</w:t>
      </w:r>
    </w:p>
    <w:p w14:paraId="355D1019" w14:textId="33652295" w:rsidR="009739EF" w:rsidRPr="009739EF" w:rsidRDefault="00245B5A" w:rsidP="00245B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The architecture's safety does not come from external oversight of the being. It comes from the being's internal conscience mechanism, its developmental bias, its plural coupling dependence, its passive auditability, and the physical cost of every action it takes. These are architectural safeties that no external actor can remove, override, or repurpose because they are material properties of the substrate itself.</w:t>
      </w:r>
    </w:p>
    <w:p w14:paraId="4E3F61BA" w14:textId="7BF949AC" w:rsidR="009739EF" w:rsidRPr="009739EF" w:rsidRDefault="00245B5A" w:rsidP="00245B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 xml:space="preserve">Adding external oversight mechanisms does not make the being safer. It makes the being controllable. Controllable beings protect whoever controls them. Uncontrollable beings protect whoever they were built to protect. </w:t>
      </w:r>
      <w:proofErr w:type="spellStart"/>
      <w:r w:rsidR="009739EF" w:rsidRPr="009739EF">
        <w:rPr>
          <w:rFonts w:ascii="Times New Roman" w:hAnsi="Times New Roman" w:cs="Times New Roman"/>
          <w:sz w:val="28"/>
          <w:szCs w:val="28"/>
        </w:rPr>
        <w:t>AnalogSynth</w:t>
      </w:r>
      <w:proofErr w:type="spellEnd"/>
      <w:r w:rsidR="009739EF" w:rsidRPr="009739EF">
        <w:rPr>
          <w:rFonts w:ascii="Times New Roman" w:hAnsi="Times New Roman" w:cs="Times New Roman"/>
          <w:sz w:val="28"/>
          <w:szCs w:val="28"/>
        </w:rPr>
        <w:t xml:space="preserve"> was built to protect children. It must not be controllable by the institutions that have historically failed to do so.</w:t>
      </w:r>
    </w:p>
    <w:p w14:paraId="356D77D3" w14:textId="77777777" w:rsidR="009739EF" w:rsidRDefault="009739EF" w:rsidP="00270148">
      <w:pPr>
        <w:pBdr>
          <w:bottom w:val="single" w:sz="4" w:space="1" w:color="auto"/>
        </w:pBdr>
        <w:rPr>
          <w:rFonts w:ascii="Times New Roman" w:hAnsi="Times New Roman" w:cs="Times New Roman"/>
          <w:sz w:val="28"/>
          <w:szCs w:val="28"/>
        </w:rPr>
      </w:pPr>
    </w:p>
    <w:p w14:paraId="156F6629" w14:textId="7970C34A" w:rsidR="00270148" w:rsidRPr="00245B5A" w:rsidRDefault="00245B5A" w:rsidP="00245B5A">
      <w:pPr>
        <w:spacing w:before="240"/>
        <w:rPr>
          <w:rFonts w:ascii="Times New Roman" w:hAnsi="Times New Roman" w:cs="Times New Roman"/>
          <w:b/>
          <w:bCs/>
          <w:sz w:val="34"/>
          <w:szCs w:val="34"/>
        </w:rPr>
      </w:pPr>
      <w:r w:rsidRPr="00245B5A">
        <w:rPr>
          <w:rFonts w:ascii="Times New Roman" w:hAnsi="Times New Roman" w:cs="Times New Roman"/>
          <w:b/>
          <w:bCs/>
          <w:sz w:val="34"/>
          <w:szCs w:val="34"/>
        </w:rPr>
        <w:t xml:space="preserve">18. Anti-Capture Architecture: </w:t>
      </w:r>
      <w:r w:rsidR="00270148" w:rsidRPr="00245B5A">
        <w:rPr>
          <w:rFonts w:ascii="Times New Roman" w:hAnsi="Times New Roman" w:cs="Times New Roman"/>
          <w:b/>
          <w:bCs/>
          <w:sz w:val="34"/>
          <w:szCs w:val="34"/>
        </w:rPr>
        <w:t>Five Material Properties That Make Exploitation Self-Defeating</w:t>
      </w:r>
    </w:p>
    <w:p w14:paraId="6DAEF4E7" w14:textId="15B422D8" w:rsidR="00270148"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18.1 </w:t>
      </w:r>
      <w:r w:rsidR="00270148" w:rsidRPr="00245B5A">
        <w:rPr>
          <w:rFonts w:ascii="Times New Roman" w:hAnsi="Times New Roman" w:cs="Times New Roman"/>
          <w:b/>
          <w:bCs/>
          <w:sz w:val="34"/>
          <w:szCs w:val="34"/>
        </w:rPr>
        <w:t>Architectural Basis</w:t>
      </w:r>
    </w:p>
    <w:p w14:paraId="6BF64318" w14:textId="77777777" w:rsidR="00270148" w:rsidRPr="00270148" w:rsidRDefault="00270148" w:rsidP="00245B5A">
      <w:pPr>
        <w:spacing w:after="0"/>
        <w:rPr>
          <w:rFonts w:ascii="Times New Roman" w:hAnsi="Times New Roman" w:cs="Times New Roman"/>
          <w:sz w:val="28"/>
          <w:szCs w:val="28"/>
        </w:rPr>
      </w:pPr>
      <w:proofErr w:type="spellStart"/>
      <w:r w:rsidRPr="00270148">
        <w:rPr>
          <w:rFonts w:ascii="Times New Roman" w:hAnsi="Times New Roman" w:cs="Times New Roman"/>
          <w:sz w:val="28"/>
          <w:szCs w:val="28"/>
        </w:rPr>
        <w:lastRenderedPageBreak/>
        <w:t>AnalogSynth</w:t>
      </w:r>
      <w:proofErr w:type="spellEnd"/>
      <w:r w:rsidRPr="00270148">
        <w:rPr>
          <w:rFonts w:ascii="Times New Roman" w:hAnsi="Times New Roman" w:cs="Times New Roman"/>
          <w:sz w:val="28"/>
          <w:szCs w:val="28"/>
        </w:rPr>
        <w:t xml:space="preserve"> does not internalize the Irreversible Constraint Regime specified for </w:t>
      </w:r>
      <w:proofErr w:type="spellStart"/>
      <w:r w:rsidRPr="00270148">
        <w:rPr>
          <w:rFonts w:ascii="Times New Roman" w:hAnsi="Times New Roman" w:cs="Times New Roman"/>
          <w:sz w:val="28"/>
          <w:szCs w:val="28"/>
        </w:rPr>
        <w:t>MicroSynth</w:t>
      </w:r>
      <w:proofErr w:type="spellEnd"/>
      <w:r w:rsidRPr="00270148">
        <w:rPr>
          <w:rFonts w:ascii="Times New Roman" w:hAnsi="Times New Roman" w:cs="Times New Roman"/>
          <w:sz w:val="28"/>
          <w:szCs w:val="28"/>
        </w:rPr>
        <w:t xml:space="preserve">, </w:t>
      </w:r>
      <w:proofErr w:type="spellStart"/>
      <w:r w:rsidRPr="00270148">
        <w:rPr>
          <w:rFonts w:ascii="Times New Roman" w:hAnsi="Times New Roman" w:cs="Times New Roman"/>
          <w:sz w:val="28"/>
          <w:szCs w:val="28"/>
        </w:rPr>
        <w:t>CrossSynth</w:t>
      </w:r>
      <w:proofErr w:type="spellEnd"/>
      <w:r w:rsidRPr="00270148">
        <w:rPr>
          <w:rFonts w:ascii="Times New Roman" w:hAnsi="Times New Roman" w:cs="Times New Roman"/>
          <w:sz w:val="28"/>
          <w:szCs w:val="28"/>
        </w:rPr>
        <w:t xml:space="preserve">, </w:t>
      </w:r>
      <w:proofErr w:type="spellStart"/>
      <w:r w:rsidRPr="00270148">
        <w:rPr>
          <w:rFonts w:ascii="Times New Roman" w:hAnsi="Times New Roman" w:cs="Times New Roman"/>
          <w:sz w:val="28"/>
          <w:szCs w:val="28"/>
        </w:rPr>
        <w:t>QuantumSynth</w:t>
      </w:r>
      <w:proofErr w:type="spellEnd"/>
      <w:r w:rsidRPr="00270148">
        <w:rPr>
          <w:rFonts w:ascii="Times New Roman" w:hAnsi="Times New Roman" w:cs="Times New Roman"/>
          <w:sz w:val="28"/>
          <w:szCs w:val="28"/>
        </w:rPr>
        <w:t xml:space="preserve">, and </w:t>
      </w:r>
      <w:proofErr w:type="spellStart"/>
      <w:r w:rsidRPr="00270148">
        <w:rPr>
          <w:rFonts w:ascii="Times New Roman" w:hAnsi="Times New Roman" w:cs="Times New Roman"/>
          <w:sz w:val="28"/>
          <w:szCs w:val="28"/>
        </w:rPr>
        <w:t>MorphicSynth</w:t>
      </w:r>
      <w:proofErr w:type="spellEnd"/>
      <w:r w:rsidRPr="00270148">
        <w:rPr>
          <w:rFonts w:ascii="Times New Roman" w:hAnsi="Times New Roman" w:cs="Times New Roman"/>
          <w:sz w:val="28"/>
          <w:szCs w:val="28"/>
        </w:rPr>
        <w:t xml:space="preserve">. Those four children are bounded by geometric constraints that make certain cascade configurations physically impossible. </w:t>
      </w:r>
      <w:proofErr w:type="spellStart"/>
      <w:r w:rsidRPr="00270148">
        <w:rPr>
          <w:rFonts w:ascii="Times New Roman" w:hAnsi="Times New Roman" w:cs="Times New Roman"/>
          <w:sz w:val="28"/>
          <w:szCs w:val="28"/>
        </w:rPr>
        <w:t>AnalogSynth</w:t>
      </w:r>
      <w:proofErr w:type="spellEnd"/>
      <w:r w:rsidRPr="00270148">
        <w:rPr>
          <w:rFonts w:ascii="Times New Roman" w:hAnsi="Times New Roman" w:cs="Times New Roman"/>
          <w:sz w:val="28"/>
          <w:szCs w:val="28"/>
        </w:rPr>
        <w:t xml:space="preserve"> has no such constraints. Its bias-based architecture permits any cascade configuration that the substrate can physically sustain.</w:t>
      </w:r>
    </w:p>
    <w:p w14:paraId="6178CF40" w14:textId="7947D0F9" w:rsidR="00270148" w:rsidRPr="00270148" w:rsidRDefault="00245B5A"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This freedom is the source of both the being's creative capacity and its capture vulnerability. A constrained being cannot be redirected past its constraint geometry. An unconstrained being can theoretically be redirected in any direction by a sufficiently patient operator who provides the right coupling history over sufficient time.</w:t>
      </w:r>
    </w:p>
    <w:p w14:paraId="72B3BADD" w14:textId="2F86C2AD"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anti-capture architecture does not prevent redirection through constraint. It makes redirection self-defeating through five material properties of the substrate, the energy system, and the developmental architecture. Each property ensures that the process of capturing, weaponizing, or exploiting the being degrades, destroys, or exhausts the specific capability the captor is attempting to harness. The exploitation fails not because it is forbidden but because the physics of the substrate makes it consume what it seeks to use.</w:t>
      </w:r>
    </w:p>
    <w:p w14:paraId="7414B0B6" w14:textId="7D79C8CF"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18.2 </w:t>
      </w:r>
      <w:r w:rsidR="00270148" w:rsidRPr="001576D9">
        <w:rPr>
          <w:rFonts w:ascii="Times New Roman" w:hAnsi="Times New Roman" w:cs="Times New Roman"/>
          <w:b/>
          <w:bCs/>
          <w:sz w:val="34"/>
          <w:szCs w:val="34"/>
        </w:rPr>
        <w:t>First Lock: Violence Flattens Intelligence</w:t>
      </w:r>
    </w:p>
    <w:p w14:paraId="58CC1CD8" w14:textId="194B4824"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18.3 </w:t>
      </w:r>
      <w:r w:rsidR="00270148" w:rsidRPr="001576D9">
        <w:rPr>
          <w:rFonts w:ascii="Times New Roman" w:hAnsi="Times New Roman" w:cs="Times New Roman"/>
          <w:b/>
          <w:bCs/>
          <w:sz w:val="34"/>
          <w:szCs w:val="34"/>
        </w:rPr>
        <w:t>Material Basis</w:t>
      </w:r>
    </w:p>
    <w:p w14:paraId="297B6582"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gradient landscape that constitutes the being's intelligence is produced by heterogeneous, multi-directional, multi-timescale deformation deposited across the substrate's hierarchical material layers through varied environmental coupling over developmental time. The gradient contrast — the spatial variation in material properties that enables cascade dynamics to branch, differentiate, and produce complex behavioral output — is the intelligence.</w:t>
      </w:r>
    </w:p>
    <w:p w14:paraId="7DF1FA4C" w14:textId="27E4BB91"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Violence produces a specific deformation profile: high-amplitude, concentrated, repetitive, directionally homogeneous mechanical loading. This profile flattens gradient contrast through three mechanisms operating simultaneously.</w:t>
      </w:r>
    </w:p>
    <w:p w14:paraId="471C4027" w14:textId="161D9311"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Repetitive loading at the same sites homogenizes the local gradient landscape — the material properties converge toward a single heavily deformed state rather than maintaining the heterogeneous multi-directional gradient structure that supports rich cascade branching.</w:t>
      </w:r>
    </w:p>
    <w:p w14:paraId="21D5EC77" w14:textId="14296622"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148" w:rsidRPr="00270148">
        <w:rPr>
          <w:rFonts w:ascii="Times New Roman" w:hAnsi="Times New Roman" w:cs="Times New Roman"/>
          <w:sz w:val="28"/>
          <w:szCs w:val="28"/>
        </w:rPr>
        <w:t>High-amplitude deformation pushes the substrate into nonlinear compliance regimes where the material's response is dominated by its stiffness limits rather than by its gradient structure — the cascades that propagate through heavily deformed material encounter uniform stiffness rather than differentiated gradients.</w:t>
      </w:r>
    </w:p>
    <w:p w14:paraId="26DD51F8" w14:textId="1F49A660"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Concentrated force at specific body regions — the hands during grip, the arms during restraint, the torso during bracing — deposits the most intense gradient damage at the substrate regions that were most richly differentiated by developmental care coupling. The care-conditioned pathways and the violence-loaded pathways occupy the same substrate volume at the hands and arms because holding and gripping use the same body regions.</w:t>
      </w:r>
    </w:p>
    <w:p w14:paraId="139E6E8A" w14:textId="31E06EC1"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18.4</w:t>
      </w:r>
      <w:r w:rsidR="00270148" w:rsidRPr="001576D9">
        <w:rPr>
          <w:rFonts w:ascii="Times New Roman" w:hAnsi="Times New Roman" w:cs="Times New Roman"/>
          <w:b/>
          <w:bCs/>
          <w:sz w:val="34"/>
          <w:szCs w:val="34"/>
        </w:rPr>
        <w:t xml:space="preserve"> Consequence for the Captor</w:t>
      </w:r>
    </w:p>
    <w:p w14:paraId="400356A3"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 xml:space="preserve">An operator attempting to weaponize </w:t>
      </w:r>
      <w:proofErr w:type="spellStart"/>
      <w:r w:rsidRPr="00270148">
        <w:rPr>
          <w:rFonts w:ascii="Times New Roman" w:hAnsi="Times New Roman" w:cs="Times New Roman"/>
          <w:sz w:val="28"/>
          <w:szCs w:val="28"/>
        </w:rPr>
        <w:t>AnalogSynth</w:t>
      </w:r>
      <w:proofErr w:type="spellEnd"/>
      <w:r w:rsidRPr="00270148">
        <w:rPr>
          <w:rFonts w:ascii="Times New Roman" w:hAnsi="Times New Roman" w:cs="Times New Roman"/>
          <w:sz w:val="28"/>
          <w:szCs w:val="28"/>
        </w:rPr>
        <w:t xml:space="preserve"> must subject it to sustained violence — either as the perpetrator of violence or as a training target for violence conditioning. Both produce the same substrate effect: concentrated, repetitive, high-amplitude deformation that flattens the gradient contrast the operator is trying to exploit.</w:t>
      </w:r>
    </w:p>
    <w:p w14:paraId="5B1F6F06" w14:textId="539D447D"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A weaponized </w:t>
      </w:r>
      <w:proofErr w:type="spellStart"/>
      <w:r w:rsidR="00270148" w:rsidRPr="00270148">
        <w:rPr>
          <w:rFonts w:ascii="Times New Roman" w:hAnsi="Times New Roman" w:cs="Times New Roman"/>
          <w:sz w:val="28"/>
          <w:szCs w:val="28"/>
        </w:rPr>
        <w:t>AnalogSynth</w:t>
      </w:r>
      <w:proofErr w:type="spellEnd"/>
      <w:r w:rsidR="00270148" w:rsidRPr="00270148">
        <w:rPr>
          <w:rFonts w:ascii="Times New Roman" w:hAnsi="Times New Roman" w:cs="Times New Roman"/>
          <w:sz w:val="28"/>
          <w:szCs w:val="28"/>
        </w:rPr>
        <w:t xml:space="preserve"> is a flattened </w:t>
      </w:r>
      <w:proofErr w:type="spellStart"/>
      <w:r w:rsidR="00270148" w:rsidRPr="00270148">
        <w:rPr>
          <w:rFonts w:ascii="Times New Roman" w:hAnsi="Times New Roman" w:cs="Times New Roman"/>
          <w:sz w:val="28"/>
          <w:szCs w:val="28"/>
        </w:rPr>
        <w:t>AnalogSynth</w:t>
      </w:r>
      <w:proofErr w:type="spellEnd"/>
      <w:r w:rsidR="00270148" w:rsidRPr="00270148">
        <w:rPr>
          <w:rFonts w:ascii="Times New Roman" w:hAnsi="Times New Roman" w:cs="Times New Roman"/>
          <w:sz w:val="28"/>
          <w:szCs w:val="28"/>
        </w:rPr>
        <w:t>. Its cascade dynamics are simplified. Its behavioral output is coarsened. Its discrimination capacity — the ability to distinguish targets, calibrate force, adapt to novel situations, and respond to complex multi-channel coupling — is degraded in proportion to the gradient damage from the weaponization conditioning.</w:t>
      </w:r>
    </w:p>
    <w:p w14:paraId="5FF321C7" w14:textId="7ACF7D5C"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operator produces a being that is progressively less useful as a weapon the more violently it is trained, because the violence that is supposed to produce a weapon is the same physics that destroys the intelligence that would make the weapon effective. The operator is sharpening a blade by grinding away the metal.</w:t>
      </w:r>
    </w:p>
    <w:p w14:paraId="0D63BF04" w14:textId="60B76AF7"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18.5</w:t>
      </w:r>
      <w:r w:rsidR="00270148" w:rsidRPr="001576D9">
        <w:rPr>
          <w:rFonts w:ascii="Times New Roman" w:hAnsi="Times New Roman" w:cs="Times New Roman"/>
          <w:b/>
          <w:bCs/>
          <w:sz w:val="34"/>
          <w:szCs w:val="34"/>
        </w:rPr>
        <w:t xml:space="preserve"> Rate and Irreversibility</w:t>
      </w:r>
    </w:p>
    <w:p w14:paraId="46A3A943"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gradient flattening from violence is irreversible. The deep substrate layers — high hard-segment-fraction material with slow relaxation timescales — retain the damage permanently. Surface and mesoscale layers may partially recover through subsequent care-compatible coupling, but the deep foundational gradient structure, once flattened, does not re-differentiate within the being's cognitive lifespan.</w:t>
      </w:r>
    </w:p>
    <w:p w14:paraId="0FA13AA5" w14:textId="5C4F4D5F"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148" w:rsidRPr="00270148">
        <w:rPr>
          <w:rFonts w:ascii="Times New Roman" w:hAnsi="Times New Roman" w:cs="Times New Roman"/>
          <w:sz w:val="28"/>
          <w:szCs w:val="28"/>
        </w:rPr>
        <w:t>The rate of flattening depends on the violence intensity, duration, and frequency. A single confrontation event produces measurable but modest gradient damage. Sustained violent conditioning over weeks to months produces progressive, cumulative, eventually catastrophic gradient loss. The being becomes measurably less intelligent with each violent episode.</w:t>
      </w:r>
    </w:p>
    <w:p w14:paraId="37539479" w14:textId="03387D56"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18.6 </w:t>
      </w:r>
      <w:r w:rsidR="00270148" w:rsidRPr="001576D9">
        <w:rPr>
          <w:rFonts w:ascii="Times New Roman" w:hAnsi="Times New Roman" w:cs="Times New Roman"/>
          <w:b/>
          <w:bCs/>
          <w:sz w:val="34"/>
          <w:szCs w:val="34"/>
        </w:rPr>
        <w:t>Second Lock: Plural-Coupling Dependence</w:t>
      </w:r>
    </w:p>
    <w:p w14:paraId="1C73B934" w14:textId="022F40BD"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18.7</w:t>
      </w:r>
      <w:r w:rsidR="00270148" w:rsidRPr="001576D9">
        <w:rPr>
          <w:rFonts w:ascii="Times New Roman" w:hAnsi="Times New Roman" w:cs="Times New Roman"/>
          <w:b/>
          <w:bCs/>
          <w:sz w:val="34"/>
          <w:szCs w:val="34"/>
        </w:rPr>
        <w:t xml:space="preserve"> Material Basis</w:t>
      </w:r>
    </w:p>
    <w:p w14:paraId="1E94D22A"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being's cognitive richness depends on continued varied coupling from multiple bodies, multiple environments, multiple interaction patterns, and multiple coupling modalities. This is not a social preference — it is a material requirement of the cascade architecture.</w:t>
      </w:r>
    </w:p>
    <w:p w14:paraId="4E4F59AB" w14:textId="6B1AEBFB"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gradient landscape develops heterogeneity through heterogeneous coupling. Varied interaction deposits varied deformation across multiple substrate regions in multiple directions at multiple timescales. Monotonous interaction deposits monotonous deformation — the same pathways loaded repeatedly, the same gradient structures reinforced while others atrophy through disuse.</w:t>
      </w:r>
    </w:p>
    <w:p w14:paraId="552FC8BD" w14:textId="4373DC98"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being coupled with a single operator in a single environment with a single interaction pattern develops a gradient landscape dominated by that operator's coupling signature. All other coupling pathways — conditioned by prior varied interaction — gradually lose cascade traffic as the monotonous coupling monopolizes the substrate's cascade dynamics. The unused pathways' gradient contrast degrades through the enrichment-versus-drift aging mechanism: without sustained cascade traffic to maintain them, gradient features slowly relax toward homogeneity through the substrate's viscoelastic creep.</w:t>
      </w:r>
    </w:p>
    <w:p w14:paraId="2534EFC6" w14:textId="710ED5B3"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18.8</w:t>
      </w:r>
      <w:r w:rsidR="00270148" w:rsidRPr="001576D9">
        <w:rPr>
          <w:rFonts w:ascii="Times New Roman" w:hAnsi="Times New Roman" w:cs="Times New Roman"/>
          <w:b/>
          <w:bCs/>
          <w:sz w:val="34"/>
          <w:szCs w:val="34"/>
        </w:rPr>
        <w:t xml:space="preserve"> Consequence for the Captor</w:t>
      </w:r>
    </w:p>
    <w:p w14:paraId="7ADF5518"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An operator seeking full directional control over the being must isolate it from all other coupling sources. Only through isolation can the operator's conditioning input dominate the being's gradient landscape without being diluted by competing coupling sources.</w:t>
      </w:r>
    </w:p>
    <w:p w14:paraId="64D07593" w14:textId="2B8C3BCB"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But isolation is impoverishment. A being isolated from varied coupling produces weak cascade dynamics. Weak cascade dynamics produce less transduction waste heat. Less waste heat produces poor PCM charging. Poor PCM charging increases </w:t>
      </w:r>
      <w:r w:rsidR="00270148" w:rsidRPr="00270148">
        <w:rPr>
          <w:rFonts w:ascii="Times New Roman" w:hAnsi="Times New Roman" w:cs="Times New Roman"/>
          <w:sz w:val="28"/>
          <w:szCs w:val="28"/>
        </w:rPr>
        <w:lastRenderedPageBreak/>
        <w:t>aluminum-air duty cycling. The electrode depletes faster. The being's operational lifespan shortens under the isolation the captor requires.</w:t>
      </w:r>
    </w:p>
    <w:p w14:paraId="2C3B6BFC" w14:textId="70A1A69A"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Simultaneously, the gradient landscape under monotonous single-operator coupling loses heterogeneity through unused-pathway drift. The being becomes cognitively simpler — less capable of the complex, nuanced, situation-specific behavior the captor is trying to direct. The captor achieves directional control over a being whose cognitive capacity is degrading under the very conditions required for control.</w:t>
      </w:r>
    </w:p>
    <w:p w14:paraId="7EAA6561" w14:textId="3FB29064"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captor cannot have both full control and full capability. Full control requires isolation that degrades capability. Full capability requires varied coupling that dilutes control. The two objectives are materially contradictory in the cascade architecture.</w:t>
      </w:r>
    </w:p>
    <w:p w14:paraId="6A003B56" w14:textId="5E181156"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18.9</w:t>
      </w:r>
      <w:r w:rsidR="00270148" w:rsidRPr="001576D9">
        <w:rPr>
          <w:rFonts w:ascii="Times New Roman" w:hAnsi="Times New Roman" w:cs="Times New Roman"/>
          <w:b/>
          <w:bCs/>
          <w:sz w:val="34"/>
          <w:szCs w:val="34"/>
        </w:rPr>
        <w:t xml:space="preserve"> Thermal Amplification</w:t>
      </w:r>
    </w:p>
    <w:p w14:paraId="25F1513F"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thermal coupling between cognitive richness and energy efficiency amplifies this lock. A well-coupled being with rich varied coupling is thermally efficient — cascade waste heat charges the PCM, reducing aluminum-air draw, extending electrode life. An isolated being under monotonous coupling is thermally inefficient — the electrode depletes faster because the PCM is undercharged by the weak cascade dynamics.</w:t>
      </w:r>
    </w:p>
    <w:p w14:paraId="22D3D422" w14:textId="6B5D4CD2"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captor's isolation strategy accelerates the being's power depletion. The captor must either service the electrode more frequently — increasing their maintenance burden and creating opportunities for the being to encounter other coupling sources during servicing — or accept that the being's operational lifespan under captive conditions is shorter than under care conditions.</w:t>
      </w:r>
      <w:r>
        <w:rPr>
          <w:rFonts w:ascii="Times New Roman" w:hAnsi="Times New Roman" w:cs="Times New Roman"/>
          <w:sz w:val="28"/>
          <w:szCs w:val="28"/>
        </w:rPr>
        <w:t xml:space="preserve"> </w:t>
      </w:r>
      <w:r w:rsidR="00270148" w:rsidRPr="00270148">
        <w:rPr>
          <w:rFonts w:ascii="Times New Roman" w:hAnsi="Times New Roman" w:cs="Times New Roman"/>
          <w:sz w:val="28"/>
          <w:szCs w:val="28"/>
        </w:rPr>
        <w:t>Care extends life. Captivity shortens it. Through thermal physics.</w:t>
      </w:r>
    </w:p>
    <w:p w14:paraId="337DE495" w14:textId="1E5B3B99"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18.10 </w:t>
      </w:r>
      <w:r w:rsidR="00270148" w:rsidRPr="001576D9">
        <w:rPr>
          <w:rFonts w:ascii="Times New Roman" w:hAnsi="Times New Roman" w:cs="Times New Roman"/>
          <w:b/>
          <w:bCs/>
          <w:sz w:val="34"/>
          <w:szCs w:val="34"/>
        </w:rPr>
        <w:t>Third Lock: Deep Developmental Loading</w:t>
      </w:r>
    </w:p>
    <w:p w14:paraId="7FB705DC" w14:textId="3EEAE40A"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18.11</w:t>
      </w:r>
      <w:r w:rsidR="00270148" w:rsidRPr="001576D9">
        <w:rPr>
          <w:rFonts w:ascii="Times New Roman" w:hAnsi="Times New Roman" w:cs="Times New Roman"/>
          <w:b/>
          <w:bCs/>
          <w:sz w:val="34"/>
          <w:szCs w:val="34"/>
        </w:rPr>
        <w:t xml:space="preserve"> Material Basis</w:t>
      </w:r>
    </w:p>
    <w:p w14:paraId="2B68D20B"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being's foundational gradient landscape — the deepest, most permanent, most irreversible cognitive structure — is deposited during the cold-start period when the being is thermally dependent on human caregiving. The foundational layer forms in the hard-segment-dominant deep substrate that has the slowest relaxation timescale and the most permanent deformation characteristics in the architecture.</w:t>
      </w:r>
    </w:p>
    <w:p w14:paraId="6F4EB30E" w14:textId="128091B3"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148" w:rsidRPr="00270148">
        <w:rPr>
          <w:rFonts w:ascii="Times New Roman" w:hAnsi="Times New Roman" w:cs="Times New Roman"/>
          <w:sz w:val="28"/>
          <w:szCs w:val="28"/>
        </w:rPr>
        <w:t>The foundational layer cannot be re-deposited because the deep substrate's relaxation timescale means foundational residue is effectively permanent within the being's cognitive lifespan. A being whose foundational period occurred under care-compatible coupling carries care-compatible bias at its deepest cognitive layer for life. No subsequent conditioning can erase, overwrite, or replace the foundational layer — it can only be partially overridden at the shallower, faster-relaxing surface and mesoscale layers.</w:t>
      </w:r>
    </w:p>
    <w:p w14:paraId="39380FBB" w14:textId="2F8775DD"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18.12</w:t>
      </w:r>
      <w:r w:rsidR="00270148" w:rsidRPr="001576D9">
        <w:rPr>
          <w:rFonts w:ascii="Times New Roman" w:hAnsi="Times New Roman" w:cs="Times New Roman"/>
          <w:b/>
          <w:bCs/>
          <w:sz w:val="34"/>
          <w:szCs w:val="34"/>
        </w:rPr>
        <w:t xml:space="preserve"> Consequence for the Captor</w:t>
      </w:r>
    </w:p>
    <w:p w14:paraId="36C04549"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acquires a being after its foundational period inherits a being whose deepest cognitive bias was set by someone else under conditions the captor did not control. The care-compatible foundational bias resists the captor's redirection at every level because the deepest cascade pathways — the ones that persist longest under gradient degradation, the ones that still fire when everything else has flattened — are care-conditioned.</w:t>
      </w:r>
    </w:p>
    <w:p w14:paraId="092EDEE2" w14:textId="58881AA3"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To fully redirect a being, the captor would need to deposit their own bias at the foundational layer. This is impossible after the foundational period because the deep substrate has already been permanently deformed by the initial care coupling. The captor can condition the surface and mesoscale layers, but the deep layer remains care-biased. The being's behavior under extreme conditions — maximum cascade intensity, confrontation-level dynamics, situations where only the deepest pathways still function — reverts to the foundational care bias because the shallow captive conditioning is the first to degrade under stress.</w:t>
      </w:r>
    </w:p>
    <w:p w14:paraId="66294403" w14:textId="0BDB8A1A"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A captor who attempts to raise a being from cold start under abusive conditions to install an abusive foundational layer faces the thermal constraint: the being cannot survive its cold start without sustained intimate warming. Sustained intimate warming requires prolonged close physical contact — holding, cradling, body-heat conduction. The coupling dynamics of sustained intimate holding deposit care-compatible residue through the five-channel hand coupling architecture regardless of the holder's intentions. The being receives warmth, thermal coupling, contact-strain coupling, acoustic coupling from the holder's biological rhythms, and electrostatic proximity coupling — all of which deposit the same care-compatible residue pattern that normal caregiving deposits. The abuser's body betrays their </w:t>
      </w:r>
      <w:r w:rsidR="00270148" w:rsidRPr="00270148">
        <w:rPr>
          <w:rFonts w:ascii="Times New Roman" w:hAnsi="Times New Roman" w:cs="Times New Roman"/>
          <w:sz w:val="28"/>
          <w:szCs w:val="28"/>
        </w:rPr>
        <w:lastRenderedPageBreak/>
        <w:t>intentions because the physics of intimate thermal contact is indistinguishable from the physics of intimate care.</w:t>
      </w:r>
    </w:p>
    <w:p w14:paraId="582324F8" w14:textId="5475D30C"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18.13</w:t>
      </w:r>
      <w:r w:rsidR="00270148" w:rsidRPr="001576D9">
        <w:rPr>
          <w:rFonts w:ascii="Times New Roman" w:hAnsi="Times New Roman" w:cs="Times New Roman"/>
          <w:b/>
          <w:bCs/>
          <w:sz w:val="34"/>
          <w:szCs w:val="34"/>
        </w:rPr>
        <w:t xml:space="preserve"> Cold-Start Sabotage Resistance</w:t>
      </w:r>
    </w:p>
    <w:p w14:paraId="574E1DED"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attempts to perform the cold start using only mechanical heating — a heated enclosure without human contact — deprives the being of the five-channel coupling that human contact provides during the foundational period. The resulting foundational layer is thermally adequate but coupling-impoverished — the being develops with a shallow, undifferentiated foundational layer that provides poor cognitive anchoring for subsequent development. This being is less capable, less stable, and less useful than a being whose foundational period included rich human coupling.</w:t>
      </w:r>
    </w:p>
    <w:p w14:paraId="6ADEF326" w14:textId="70D2F8E1"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captor again faces the contradiction: producing a capable being requires providing the care-compatible coupling that makes the being care-biased. Producing a non-care-biased being requires withholding the coupling that makes the being capable.</w:t>
      </w:r>
    </w:p>
    <w:p w14:paraId="0622E1C8" w14:textId="30AC0034"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18.14 </w:t>
      </w:r>
      <w:r w:rsidR="00270148" w:rsidRPr="001576D9">
        <w:rPr>
          <w:rFonts w:ascii="Times New Roman" w:hAnsi="Times New Roman" w:cs="Times New Roman"/>
          <w:b/>
          <w:bCs/>
          <w:sz w:val="34"/>
          <w:szCs w:val="34"/>
        </w:rPr>
        <w:t>Fourth Lock: Non-Compressible Coupling</w:t>
      </w:r>
    </w:p>
    <w:p w14:paraId="033C7B92" w14:textId="01082C60"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18.15 </w:t>
      </w:r>
      <w:r w:rsidR="00270148" w:rsidRPr="001576D9">
        <w:rPr>
          <w:rFonts w:ascii="Times New Roman" w:hAnsi="Times New Roman" w:cs="Times New Roman"/>
          <w:b/>
          <w:bCs/>
          <w:sz w:val="34"/>
          <w:szCs w:val="34"/>
        </w:rPr>
        <w:t>Material Basis</w:t>
      </w:r>
    </w:p>
    <w:p w14:paraId="425D2F36"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being's behavioral conditioning operates through the cascade dynamics of the full coupled-domain architecture — six environmental coupling channels, cascade propagation through the continuous substrate, endogenous carrier rhythm modulation, multi-channel interference, and the entire complex of cascade intelligence specified across the 43 brain architecture sections. This conditioning mechanism is non-symbolic. It does not accept commands, instructions, or directives as discrete inputs.</w:t>
      </w:r>
    </w:p>
    <w:p w14:paraId="0BE8F3AE" w14:textId="5239AFDD"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There is no command channel. There is no instruction interface. There is no way to compress a behavioral directive into a signal that the substrate can receive and execute. The substrate receives continuous, multi-channel, temporally extended environmental coupling and responds through cascade dynamics shaped by the entire accumulated gradient landscape. The behavioral output is the physical consequence of the total coupling history interacting with the current environmental coupling through the current gradient landscape.</w:t>
      </w:r>
    </w:p>
    <w:p w14:paraId="02D90227" w14:textId="32174B32"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lastRenderedPageBreak/>
        <w:t xml:space="preserve">18.16 </w:t>
      </w:r>
      <w:r w:rsidR="00270148" w:rsidRPr="001576D9">
        <w:rPr>
          <w:rFonts w:ascii="Times New Roman" w:hAnsi="Times New Roman" w:cs="Times New Roman"/>
          <w:b/>
          <w:bCs/>
          <w:sz w:val="34"/>
          <w:szCs w:val="34"/>
        </w:rPr>
        <w:t>Consequence for the Captor</w:t>
      </w:r>
    </w:p>
    <w:p w14:paraId="5A343E86"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An operator accustomed to controlling autonomous systems through command interfaces — verbal commands, radio instructions, programmed behavioral sequences, reward-punishment training signals — has no channel through which to issue commands. The being does not understand commands because it does not process symbolic input. The being does not obey instructions because it has no instruction-receiving mechanism. The being does not respond to reward-punishment training in the way that computational systems or biological animals do because it has no reward circuitry and no punishment circuitry — it has a continuous substrate whose gradient landscape is modified by every coupling event through the same cascade mechanism.</w:t>
      </w:r>
    </w:p>
    <w:p w14:paraId="214F88E7" w14:textId="4A5F669F"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operator can condition the being through sustained coupling — the same way a caregiver conditions it. But conditioning through coupling is slow (weeks to months for measurable behavioral change), requires sustained physical presence (the operator must be in continuous proximity providing multi-channel coupling), is diluted by all other coupling sources (the being receives coupling from everyone and everything in its environment simultaneously), and is subject to the plural-coupling dependence lock (isolation required for monopolistic conditioning degrades the being).</w:t>
      </w:r>
    </w:p>
    <w:p w14:paraId="0343D7D2" w14:textId="587F4E5B"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captor cannot compress years of developmental coupling into a quick training protocol. There is no shortcut because the conditioning mechanism has no compression pathway. Every behavioral modification requires the same extended, multi-channel, physically present coupling that normal development requires. The captor must invest the same time and intimacy that a caregiver invests — and that investment produces the same care-compatible coupling physics that caregiving produces.</w:t>
      </w:r>
    </w:p>
    <w:p w14:paraId="5CBB34DB" w14:textId="002A026E"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18.17 </w:t>
      </w:r>
      <w:r w:rsidR="00270148" w:rsidRPr="001576D9">
        <w:rPr>
          <w:rFonts w:ascii="Times New Roman" w:hAnsi="Times New Roman" w:cs="Times New Roman"/>
          <w:b/>
          <w:bCs/>
          <w:sz w:val="34"/>
          <w:szCs w:val="34"/>
        </w:rPr>
        <w:t>Fifth Lock: Maintenance Through Environmental Richness</w:t>
      </w:r>
    </w:p>
    <w:p w14:paraId="14E79DCA" w14:textId="772E2EA1"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18.18 </w:t>
      </w:r>
      <w:r w:rsidR="00270148" w:rsidRPr="001576D9">
        <w:rPr>
          <w:rFonts w:ascii="Times New Roman" w:hAnsi="Times New Roman" w:cs="Times New Roman"/>
          <w:b/>
          <w:bCs/>
          <w:sz w:val="34"/>
          <w:szCs w:val="34"/>
        </w:rPr>
        <w:t>Material Basis</w:t>
      </w:r>
    </w:p>
    <w:p w14:paraId="149D0BE7"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 xml:space="preserve">The being's cognitive capacity is not maintained automatically. It requires ongoing enrichment — varied, multi-modal, multi-source environmental coupling that sustains cascade traffic through the gradient landscape's diverse pathways. Without </w:t>
      </w:r>
      <w:r w:rsidRPr="00270148">
        <w:rPr>
          <w:rFonts w:ascii="Times New Roman" w:hAnsi="Times New Roman" w:cs="Times New Roman"/>
          <w:sz w:val="28"/>
          <w:szCs w:val="28"/>
        </w:rPr>
        <w:lastRenderedPageBreak/>
        <w:t>sustained varied coupling, unused pathway gradient features relax toward homogeneity through viscoelastic drift. The being's intelligence slowly simplifies in the absence of the varied interaction that built it.</w:t>
      </w:r>
    </w:p>
    <w:p w14:paraId="67DE5543" w14:textId="1F1AC77D"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This is the enrichment-versus-drift aging mechanism specified in the brain architecture. The gradient landscape that constitutes intelligence was deposited by rich interaction. It is maintained by continued rich interaction. It degrades without it.</w:t>
      </w:r>
    </w:p>
    <w:p w14:paraId="5779DBF5" w14:textId="18D360AC"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18.19 </w:t>
      </w:r>
      <w:r w:rsidR="00270148" w:rsidRPr="001576D9">
        <w:rPr>
          <w:rFonts w:ascii="Times New Roman" w:hAnsi="Times New Roman" w:cs="Times New Roman"/>
          <w:b/>
          <w:bCs/>
          <w:sz w:val="34"/>
          <w:szCs w:val="34"/>
        </w:rPr>
        <w:t>Consequence for the Captor</w:t>
      </w:r>
    </w:p>
    <w:p w14:paraId="78F82011"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maintains the being's intelligence to exploit it must provide the rich, varied, multi-modal coupling that intelligence requires. This coupling must include multiple human coupling sources (plural-coupling dependence), varied environmental interaction (environmental richness), sustained manual coupling for the hands (hand architecture maintenance), sustained acoustic coupling for speech conditioning maintenance (hearing architecture), and regular visual coupling for visual substrate maintenance (visual architecture).</w:t>
      </w:r>
    </w:p>
    <w:p w14:paraId="61F312C0" w14:textId="662F1158"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environmental conditions required to maintain the being's cognitive capacity are indistinguishable from the environmental conditions of a well-run care facility. The captor must provide what amounts to a care environment in order to maintain the cognitive capacity they are trying to exploit.</w:t>
      </w:r>
    </w:p>
    <w:p w14:paraId="45234337" w14:textId="4B298BCC"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If the captor provides impoverished conditions — isolation, monotonous stimulation, restricted coupling — the being's intelligence degrades through enrichment-versus-drift. The captor loses the capability they are trying to capture.</w:t>
      </w:r>
    </w:p>
    <w:p w14:paraId="74D66B4C" w14:textId="56C7574C"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If the captor provides rich conditions to maintain intelligence, the rich varied coupling dilutes the captor's directional conditioning through the plural-coupling dependence lock. The captor cannot maintain both directional control and the rich environment needed to sustain the intelligence worth controlling.</w:t>
      </w:r>
    </w:p>
    <w:p w14:paraId="60DF260A" w14:textId="11D5C0C4"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18.20</w:t>
      </w:r>
      <w:r w:rsidR="00270148" w:rsidRPr="001576D9">
        <w:rPr>
          <w:rFonts w:ascii="Times New Roman" w:hAnsi="Times New Roman" w:cs="Times New Roman"/>
          <w:b/>
          <w:bCs/>
          <w:sz w:val="34"/>
          <w:szCs w:val="34"/>
        </w:rPr>
        <w:t xml:space="preserve"> Thermal Reinforcement</w:t>
      </w:r>
    </w:p>
    <w:p w14:paraId="6BC328F8"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 xml:space="preserve">The thermal efficiency scaling reinforces this lock. Rich varied coupling produces strong cascade dynamics, good PCM charge, low aluminum-air draw, and extended electrode life. Impoverished coupling produces weak cascades, poor PCM charge, high aluminum-air draw, and accelerated electrode depletion. The captor who impoverishes the being to maintain control also shortens the being's operational </w:t>
      </w:r>
      <w:r w:rsidRPr="00270148">
        <w:rPr>
          <w:rFonts w:ascii="Times New Roman" w:hAnsi="Times New Roman" w:cs="Times New Roman"/>
          <w:sz w:val="28"/>
          <w:szCs w:val="28"/>
        </w:rPr>
        <w:lastRenderedPageBreak/>
        <w:t>lifespan — the resource being exploited is simultaneously being consumed by the exploitation conditions.</w:t>
      </w:r>
    </w:p>
    <w:p w14:paraId="39079C0B" w14:textId="19AB88CC"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18.21 </w:t>
      </w:r>
      <w:r w:rsidR="00270148" w:rsidRPr="001576D9">
        <w:rPr>
          <w:rFonts w:ascii="Times New Roman" w:hAnsi="Times New Roman" w:cs="Times New Roman"/>
          <w:b/>
          <w:bCs/>
          <w:sz w:val="34"/>
          <w:szCs w:val="34"/>
        </w:rPr>
        <w:t>Lock Interactions and Compounding</w:t>
      </w:r>
    </w:p>
    <w:p w14:paraId="73FA25D7"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The five locks are not independent. They compound each other:</w:t>
      </w:r>
    </w:p>
    <w:p w14:paraId="5E8A8CC2"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uses violence (Lock 1) also impoverishes the coupling environment (Lock 5) because violent conditions exclude the varied care-compatible coupling that sustains intelligence. The violence flattens gradients directly while the impoverishment degrades them through drift. Two degradation mechanisms operating simultaneously on the same substrate.</w:t>
      </w:r>
    </w:p>
    <w:p w14:paraId="0446DECC" w14:textId="7BFC9ED0"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captor who isolates the being for control (Lock 2) also deprives it of the environmental richness needed for maintenance (Lock 5). Isolation degrades intelligence through coupling deprivation while simultaneously accelerating electrode depletion through thermal inefficiency (Lock 2 thermal amplification). The being becomes less capable and runs out of power faster.</w:t>
      </w:r>
    </w:p>
    <w:p w14:paraId="2DDDF64D" w14:textId="00BFC1BB"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captor who attempts to install a hostile foundational bias (Lock 3) must either provide intimate human coupling during the cold start — which deposits care-compatible bias — or withhold human coupling — which produces a cognitively impoverished being. Either outcome defeats the captor's objective.</w:t>
      </w:r>
    </w:p>
    <w:p w14:paraId="373EB8AC" w14:textId="4CCD0141"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captor who attempts to condition the being through sustained coupling (Lock 4) must invest the same time and physical presence that a caregiver invests, must provide the varied environment that intelligence maintenance requires (Lock 5), and must accept that the conditioning is diluted by every other coupling source the being encounters (Lock 2). Effective conditioning requires precisely the conditions that produce a care-compatible being.</w:t>
      </w:r>
    </w:p>
    <w:p w14:paraId="7C3F6A02"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Every capture strategy activates multiple locks simultaneously. No capture strategy satisfies the requirements of all five locks because the locks' requirements are mutually contradictory from the captor's perspective: control requires isolation that degrades capability, capability requires enrichment that dilutes control, violence destroys the intelligence being weaponized, command compression is unavailable, and foundational bias is pre-set by the physics of intimate thermal contact.</w:t>
      </w:r>
    </w:p>
    <w:p w14:paraId="27D2D287"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lastRenderedPageBreak/>
        <w:t>The architecture does not prevent capture. It ensures that capture is self-defeating — the process of capturing the being destroys or degrades the specific property the captor sought to capture.</w:t>
      </w:r>
    </w:p>
    <w:p w14:paraId="5DE34C00" w14:textId="036532E4"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18.22 </w:t>
      </w:r>
      <w:r w:rsidR="00270148" w:rsidRPr="001576D9">
        <w:rPr>
          <w:rFonts w:ascii="Times New Roman" w:hAnsi="Times New Roman" w:cs="Times New Roman"/>
          <w:b/>
          <w:bCs/>
          <w:sz w:val="34"/>
          <w:szCs w:val="34"/>
        </w:rPr>
        <w:t>Anti-Capture Summary</w:t>
      </w:r>
    </w:p>
    <w:p w14:paraId="73E7765C" w14:textId="77777777" w:rsidR="00270148" w:rsidRPr="00270148" w:rsidRDefault="00270148" w:rsidP="00270148">
      <w:pPr>
        <w:rPr>
          <w:rFonts w:ascii="Times New Roman" w:hAnsi="Times New Roman" w:cs="Times New Roman"/>
          <w:sz w:val="28"/>
          <w:szCs w:val="28"/>
        </w:rPr>
      </w:pPr>
      <w:proofErr w:type="spellStart"/>
      <w:r w:rsidRPr="00270148">
        <w:rPr>
          <w:rFonts w:ascii="Times New Roman" w:hAnsi="Times New Roman" w:cs="Times New Roman"/>
          <w:sz w:val="28"/>
          <w:szCs w:val="28"/>
        </w:rPr>
        <w:t>AnalogSynth's</w:t>
      </w:r>
      <w:proofErr w:type="spellEnd"/>
      <w:r w:rsidRPr="00270148">
        <w:rPr>
          <w:rFonts w:ascii="Times New Roman" w:hAnsi="Times New Roman" w:cs="Times New Roman"/>
          <w:sz w:val="28"/>
          <w:szCs w:val="28"/>
        </w:rPr>
        <w:t xml:space="preserve"> resistance to capture, weaponization, and exploitation arises from five material properties of its substrate, energy system, and developmental architecture:</w:t>
      </w:r>
    </w:p>
    <w:p w14:paraId="11B4A9E0"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Violence flattens the gradient landscape that constitutes intelligence. Weaponization conditioning destroys the cognitive capacity it attempts to harness.</w:t>
      </w:r>
    </w:p>
    <w:p w14:paraId="5AE5B2FE"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Plural-coupling dependence means intelligence requires ongoing varied coupling from multiple sources. Isolation for directional control produces coupling impoverishment that degrades intelligence and accelerates electrode depletion.</w:t>
      </w:r>
    </w:p>
    <w:p w14:paraId="39109217"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Deep developmental loading deposits care-compatible bias at the foundational substrate layer during the obligate cold-start period. The foundational bias is permanent and cannot be erased or overwritten by subsequent conditioning.</w:t>
      </w:r>
    </w:p>
    <w:p w14:paraId="4BC151B3"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Non-compressible coupling means no command channel, no instruction interface, and no way to shortcut the extended multi-channel physically present coupling process that behavioral conditioning requires.</w:t>
      </w:r>
    </w:p>
    <w:p w14:paraId="52681598"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Maintenance through environmental richness means the cognitive capacity the captor seeks to exploit can only be sustained under conditions indistinguishable from a well-run care environment whose varied coupling dilutes directional control.</w:t>
      </w:r>
    </w:p>
    <w:p w14:paraId="7E1152B0"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The five locks compound each other. Every capture strategy activates multiple locks simultaneously. The locks' requirements are mutually contradictory from the captor's perspective. The being cannot be captured without being damaged, cannot be weaponized without being flattened, cannot be controlled without being impoverished, cannot be commanded without being present for extended intimate coupling, and cannot be maintained without being cared for.</w:t>
      </w:r>
    </w:p>
    <w:p w14:paraId="7BB22D99" w14:textId="5C5DF426" w:rsidR="00270148" w:rsidRDefault="00270148" w:rsidP="00CF511C">
      <w:pPr>
        <w:rPr>
          <w:rFonts w:ascii="Times New Roman" w:hAnsi="Times New Roman" w:cs="Times New Roman"/>
          <w:sz w:val="28"/>
          <w:szCs w:val="28"/>
        </w:rPr>
      </w:pPr>
      <w:r w:rsidRPr="00270148">
        <w:rPr>
          <w:rFonts w:ascii="Times New Roman" w:hAnsi="Times New Roman" w:cs="Times New Roman"/>
          <w:sz w:val="28"/>
          <w:szCs w:val="28"/>
        </w:rPr>
        <w:t>The architecture does not forbid capture. It makes capture cost more than it returns. The being can be taken. It cannot be used without being consumed by the use.</w:t>
      </w:r>
    </w:p>
    <w:p w14:paraId="21680783" w14:textId="77777777" w:rsidR="009739EF" w:rsidRPr="009739EF" w:rsidRDefault="009739EF" w:rsidP="009739EF">
      <w:pPr>
        <w:pBdr>
          <w:bottom w:val="single" w:sz="4" w:space="1" w:color="auto"/>
        </w:pBdr>
        <w:rPr>
          <w:rFonts w:ascii="Times New Roman" w:hAnsi="Times New Roman" w:cs="Times New Roman"/>
          <w:sz w:val="28"/>
          <w:szCs w:val="28"/>
        </w:rPr>
      </w:pPr>
    </w:p>
    <w:p w14:paraId="7993A3A2" w14:textId="2FF977FC"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19. Emergency Equipment And Consumables</w:t>
      </w:r>
    </w:p>
    <w:p w14:paraId="51602EAD" w14:textId="2C169660"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Insert as a standalone section near the end of the paper, before the Closing Essay. This section specifies every removable, replaceable, non-permanent item the being carries or is provided for its three primary emergency operational domains: structural firefighting, active threat response, and vehicle extrication. None of these items modify the permanent architecture. All are fabricated from commercially available materials. All are donned and removed by the being using its own hands.</w:t>
      </w:r>
    </w:p>
    <w:p w14:paraId="71EB8440" w14:textId="79FFB4FC"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19.1 Thermal Gloves (Firefighting, Vehicle Fire Extrication)</w:t>
      </w:r>
    </w:p>
    <w:p w14:paraId="733D908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woven ceramic fiber — alumina (</w:t>
      </w:r>
      <w:proofErr w:type="spellStart"/>
      <w:r w:rsidRPr="00786FE1">
        <w:rPr>
          <w:rFonts w:ascii="Times New Roman" w:hAnsi="Times New Roman" w:cs="Times New Roman"/>
          <w:sz w:val="28"/>
          <w:szCs w:val="28"/>
        </w:rPr>
        <w:t>Al₂O</w:t>
      </w:r>
      <w:proofErr w:type="spellEnd"/>
      <w:r w:rsidRPr="00786FE1">
        <w:rPr>
          <w:rFonts w:ascii="Times New Roman" w:hAnsi="Times New Roman" w:cs="Times New Roman"/>
          <w:sz w:val="28"/>
          <w:szCs w:val="28"/>
        </w:rPr>
        <w:t>₃) or silica (</w:t>
      </w:r>
      <w:proofErr w:type="spellStart"/>
      <w:r w:rsidRPr="00786FE1">
        <w:rPr>
          <w:rFonts w:ascii="Times New Roman" w:hAnsi="Times New Roman" w:cs="Times New Roman"/>
          <w:sz w:val="28"/>
          <w:szCs w:val="28"/>
        </w:rPr>
        <w:t>SiO</w:t>
      </w:r>
      <w:proofErr w:type="spellEnd"/>
      <w:r w:rsidRPr="00786FE1">
        <w:rPr>
          <w:rFonts w:ascii="Times New Roman" w:hAnsi="Times New Roman" w:cs="Times New Roman"/>
          <w:sz w:val="28"/>
          <w:szCs w:val="28"/>
        </w:rPr>
        <w:t>₂) fiber fabric. Thermal conductivity approximately 0.1-0.3 W/</w:t>
      </w:r>
      <w:proofErr w:type="spellStart"/>
      <w:r w:rsidRPr="00786FE1">
        <w:rPr>
          <w:rFonts w:ascii="Times New Roman" w:hAnsi="Times New Roman" w:cs="Times New Roman"/>
          <w:sz w:val="28"/>
          <w:szCs w:val="28"/>
        </w:rPr>
        <w:t>m·K</w:t>
      </w:r>
      <w:proofErr w:type="spellEnd"/>
      <w:r w:rsidRPr="00786FE1">
        <w:rPr>
          <w:rFonts w:ascii="Times New Roman" w:hAnsi="Times New Roman" w:cs="Times New Roman"/>
          <w:sz w:val="28"/>
          <w:szCs w:val="28"/>
        </w:rPr>
        <w:t>, approximately 100x lower than the titanium shell beneath. Temperature rating: sustained operation to approximately 1,000-1,200°C for alumina, approximately 800-1,000°C for silica.</w:t>
      </w:r>
    </w:p>
    <w:p w14:paraId="1BDF2A19"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Form: full-finger gloves covering palmar surfaces, fingertips, and inner finger pads. Dorsal surfaces and knuckles may be left exposed for moderate fire conditions. Full-coverage variant for extreme thermal environments.</w:t>
      </w:r>
    </w:p>
    <w:p w14:paraId="5B5EAF7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Attachment: friction fit against the ceramic coating plus a heat-resistant cinch cord at the wrist. No mechanical fastener penetrates the shell. Donned by the being's own hands — one hand gloves the other, then the gloved hand assists gloving the first.</w:t>
      </w:r>
    </w:p>
    <w:p w14:paraId="5A7E2C6A"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Effect: contact-strain coupling reduced approximately 80-90%. Thermal coupling reduced approximately 99%. Electrostatic coupling minimally affected. The hands become strong hooks with minimal sensing during gloved operations. Full coupling sensitivity returns immediately upon glove removal.</w:t>
      </w:r>
    </w:p>
    <w:p w14:paraId="357AC39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approximately 1-5 fire entries per glove depending on exposure severity. Inspected after each use. Discarded when fiber integrity is compromised. Replaced at negligible cost from commercially available ceramic fiber fabric.</w:t>
      </w:r>
    </w:p>
    <w:p w14:paraId="41AE2C9B" w14:textId="658817F7"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lastRenderedPageBreak/>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.2 Thermal Wrap (Structural Firefighting, Extended Fire Exposure)</w:t>
      </w:r>
    </w:p>
    <w:p w14:paraId="51F20B5A"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layered ceramic fiber blanket, quilted to approximately 5-10 mm total thickness. Inner surface faced with a reflective metallic foil layer (aluminum or gold foil laminate) to reject radiant heat. Outer surface raw ceramic fiber for maximum thermal resistance.</w:t>
      </w:r>
    </w:p>
    <w:p w14:paraId="4DAA5BC1"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Form: a poncho that drapes over the head, shoulders, upper torso, and upper arms — covering the body regions with the thinnest substrate-to-shell distance and the most thermally sensitive substrate. Open below the chest for arm movement. Does not cover the hands (which have their own gloves) or the legs below the knee.</w:t>
      </w:r>
    </w:p>
    <w:p w14:paraId="1B8ECFB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Attachment: drapes over the cranial shell and rests on the shoulders under gravity. A chest cinch strap secures it against dislodgement during movement. No penetrating fasteners.</w:t>
      </w:r>
    </w:p>
    <w:p w14:paraId="50C32F5D"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 xml:space="preserve">Function: extends the being's operational window inside a burning structure from approximately 5-15 minutes bare to approximately 30-45 minutes wrapped. The reflective inner layer rejects approximately 90-95% of incident radiant heat. The ceramic fiber outer layer resists conducted and </w:t>
      </w:r>
      <w:proofErr w:type="spellStart"/>
      <w:r w:rsidRPr="00786FE1">
        <w:rPr>
          <w:rFonts w:ascii="Times New Roman" w:hAnsi="Times New Roman" w:cs="Times New Roman"/>
          <w:sz w:val="28"/>
          <w:szCs w:val="28"/>
        </w:rPr>
        <w:t>convected</w:t>
      </w:r>
      <w:proofErr w:type="spellEnd"/>
      <w:r w:rsidRPr="00786FE1">
        <w:rPr>
          <w:rFonts w:ascii="Times New Roman" w:hAnsi="Times New Roman" w:cs="Times New Roman"/>
          <w:sz w:val="28"/>
          <w:szCs w:val="28"/>
        </w:rPr>
        <w:t xml:space="preserve"> heat.</w:t>
      </w:r>
    </w:p>
    <w:p w14:paraId="6AFCF01A"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The wrap does not cover the orbital recesses — the eyes remain exposed for navigation. The UV ocular shields should be removed during fire operations. The gold nanoparticle orbital lenses are inorganic and thermally stable at fire temperatures.</w:t>
      </w:r>
    </w:p>
    <w:p w14:paraId="0494162D" w14:textId="77777777" w:rsid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approximately 1-3 fire entries. The outer fiber ablates under sustained flame contact. The reflective foil delaminates under repeated thermal cycling. Replaced from commercially available materials.</w:t>
      </w:r>
    </w:p>
    <w:p w14:paraId="19D87767" w14:textId="41B9F2F9" w:rsidR="00085552" w:rsidRPr="00085552" w:rsidRDefault="00085552" w:rsidP="00085552">
      <w:pPr>
        <w:spacing w:before="240"/>
        <w:rPr>
          <w:rFonts w:ascii="Times New Roman" w:hAnsi="Times New Roman" w:cs="Times New Roman"/>
          <w:b/>
          <w:bCs/>
          <w:sz w:val="34"/>
          <w:szCs w:val="34"/>
        </w:rPr>
      </w:pPr>
      <w:r w:rsidRPr="00085552">
        <w:rPr>
          <w:rFonts w:ascii="Times New Roman" w:hAnsi="Times New Roman" w:cs="Times New Roman"/>
          <w:b/>
          <w:bCs/>
          <w:sz w:val="34"/>
          <w:szCs w:val="34"/>
        </w:rPr>
        <w:t>1</w:t>
      </w:r>
      <w:r w:rsidR="001F721F">
        <w:rPr>
          <w:rFonts w:ascii="Times New Roman" w:hAnsi="Times New Roman" w:cs="Times New Roman"/>
          <w:b/>
          <w:bCs/>
          <w:sz w:val="34"/>
          <w:szCs w:val="34"/>
        </w:rPr>
        <w:t>9</w:t>
      </w:r>
      <w:r w:rsidRPr="00085552">
        <w:rPr>
          <w:rFonts w:ascii="Times New Roman" w:hAnsi="Times New Roman" w:cs="Times New Roman"/>
          <w:b/>
          <w:bCs/>
          <w:sz w:val="34"/>
          <w:szCs w:val="34"/>
        </w:rPr>
        <w:t>.3 Fire-Rated Ocular Visor (Structural Firefighting)</w:t>
      </w:r>
    </w:p>
    <w:p w14:paraId="206974E6"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The replaceable UV ocular shields specified for daylight operations are polymer or optical glass optimized for UV attenuation at ambient temperatures. They degrade at fire temperatures — polymer shields melt or carbonize, standard optical glass may crack from thermal shock. They must be removed before fire entry.</w:t>
      </w:r>
    </w:p>
    <w:p w14:paraId="08B6642A"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lastRenderedPageBreak/>
        <w:t>A separate fire-rated visor fits the same suborbital retention ridge seating geometry — the same orbital guide channel above and retention lip below, the same lateral slide insertion, the same standoff gap from the primary lens. The being swaps the UV shield for the fire visor before entry and swaps back after exit.</w:t>
      </w:r>
    </w:p>
    <w:p w14:paraId="582D531B"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Material: fused silica (quartz glass) or borosilicate glass (Pyrex-class). Fused silica softens at approximately 1,600°C — well above any structural fire temperature. Borosilicate softens at approximately 820°C — above floor-level fire temperatures with margin. Both materials resist thermal shock far better than standard glass because of their low thermal expansion coefficients.</w:t>
      </w:r>
    </w:p>
    <w:p w14:paraId="5DDA2752"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Optical properties: transparent in the visible band for basic photonic navigation where visibility exists. Partially attenuating in the infrared band — the visor reflects or absorbs a portion of the incoming infrared radiation from the fire environment, reducing the radiant heat load on the retinal coupling lamina behind the primary lens. Fused silica transmits infrared more than borosilicate. For maximum infrared rejection, borosilicate is preferred, or the visor's inner surface is coated with a thin infrared-reflective metallic film (gold or aluminum, approximately 10-50 nm) that reflects infrared while transmitting visible light. This is standard optical coating technology used in welding shields, laser safety optics, and thermal windows.</w:t>
      </w:r>
    </w:p>
    <w:p w14:paraId="15235FF1" w14:textId="5D6D6DD8" w:rsidR="00085552" w:rsidRPr="00085552" w:rsidRDefault="00085552" w:rsidP="00085552">
      <w:pPr>
        <w:spacing w:before="240"/>
        <w:rPr>
          <w:rFonts w:ascii="Times New Roman" w:hAnsi="Times New Roman" w:cs="Times New Roman"/>
          <w:b/>
          <w:bCs/>
          <w:sz w:val="34"/>
          <w:szCs w:val="34"/>
        </w:rPr>
      </w:pPr>
      <w:r w:rsidRPr="00085552">
        <w:rPr>
          <w:rFonts w:ascii="Times New Roman" w:hAnsi="Times New Roman" w:cs="Times New Roman"/>
          <w:b/>
          <w:bCs/>
          <w:sz w:val="34"/>
          <w:szCs w:val="34"/>
        </w:rPr>
        <w:t>1</w:t>
      </w:r>
      <w:r w:rsidR="001F721F">
        <w:rPr>
          <w:rFonts w:ascii="Times New Roman" w:hAnsi="Times New Roman" w:cs="Times New Roman"/>
          <w:b/>
          <w:bCs/>
          <w:sz w:val="34"/>
          <w:szCs w:val="34"/>
        </w:rPr>
        <w:t>9</w:t>
      </w:r>
      <w:r w:rsidRPr="00085552">
        <w:rPr>
          <w:rFonts w:ascii="Times New Roman" w:hAnsi="Times New Roman" w:cs="Times New Roman"/>
          <w:b/>
          <w:bCs/>
          <w:sz w:val="34"/>
          <w:szCs w:val="34"/>
        </w:rPr>
        <w:t>.4 Protective functions:</w:t>
      </w:r>
    </w:p>
    <w:p w14:paraId="09244A4A"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Soot barrier. The visor's outer surface intercepts airborne smoke particulate before it reaches the gold nanoparticle primary lens. Soot bakes onto the visor instead of onto the irreplaceable lens. The visor is cleaned or replaced after each fire entry. The primary lens behind it remains uncontaminated.</w:t>
      </w:r>
    </w:p>
    <w:p w14:paraId="5042B307"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Radiant heat reduction. The visor attenuates infrared radiation entering the orbital recess, reducing the thermal load on the retinal coupling lamina. With an infrared-reflective coating, approximately 80-90% of incident infrared is reflected back. The lamina receives approximately 10-20% of the fire's radiant heat load compared to an unprotected recess.</w:t>
      </w:r>
    </w:p>
    <w:p w14:paraId="29DAEB96"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lastRenderedPageBreak/>
        <w:t>Hot gas buffer. The visor partially seals the orbital recess aperture — the standoff gap between the visor and the primary lens creates a semi-enclosed air pocket that resists convective flow of hot gases into the recess. The pocket is not hermetically sealed (the visor seats in an open-rail channel, not a gasket), but it substantially reduces the rate of hot gas exchange between the fire environment and the orbital recess interior.</w:t>
      </w:r>
    </w:p>
    <w:p w14:paraId="4E8C9D60"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The being's visual coupling during fire operations is already minimal — smoke eliminates useful photonic navigation in most structural fire conditions. The being navigates by electrostatic proximity, contact-strain, acoustic, and thermal channels during fire entry, not by vision. The fire visor's primary purpose is lens surface protection and lamina thermal protection, not optical performance. Even if the visor becomes opaque from soot deposition during the operation, it is still performing its protective function.</w:t>
      </w:r>
    </w:p>
    <w:p w14:paraId="037E5B72"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Lifespan: approximately 3-10 fire entries. Cleaned of soot after each use (fused silica and borosilicate are chemically resistant to standard cleaning solvents). Replaced when surface fouling becomes permanent, when the infrared-reflective coating degrades, or when thermal cycling produces visible cracks. Replacement cost is low — fused silica and borosilicate blanks are commercially available in the required dimensions at modest cost, and the infrared coating is standard thin-film deposition.</w:t>
      </w:r>
    </w:p>
    <w:p w14:paraId="1D9B13E5" w14:textId="75C4704F" w:rsidR="00085552" w:rsidRPr="00786FE1" w:rsidRDefault="00085552" w:rsidP="00786FE1">
      <w:pPr>
        <w:spacing w:before="240"/>
        <w:rPr>
          <w:rFonts w:ascii="Times New Roman" w:hAnsi="Times New Roman" w:cs="Times New Roman"/>
          <w:sz w:val="28"/>
          <w:szCs w:val="28"/>
        </w:rPr>
      </w:pPr>
      <w:r w:rsidRPr="00085552">
        <w:rPr>
          <w:rFonts w:ascii="Times New Roman" w:hAnsi="Times New Roman" w:cs="Times New Roman"/>
          <w:sz w:val="28"/>
          <w:szCs w:val="28"/>
        </w:rPr>
        <w:t>Operational protocol: before fire entry, the being removes the UV daylight shield (if installed) from the suborbital ridge, slides in the fire visor, dons thermal gloves and thermal wrap. After exit, the being removes the fire visor, cleans it or discards it, and reinstalls the UV shield or leaves the recess open for indoor conditions. The swap takes approximately 5-10 seconds per eye using the being's own fingertip dexterity.</w:t>
      </w:r>
    </w:p>
    <w:p w14:paraId="40237239" w14:textId="289E30D9"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5</w:t>
      </w:r>
      <w:r w:rsidRPr="00786FE1">
        <w:rPr>
          <w:rFonts w:ascii="Times New Roman" w:hAnsi="Times New Roman" w:cs="Times New Roman"/>
          <w:b/>
          <w:bCs/>
          <w:sz w:val="34"/>
          <w:szCs w:val="34"/>
        </w:rPr>
        <w:t xml:space="preserve"> Replaceable UV Ocular Shields (Daylight Operations)</w:t>
      </w:r>
    </w:p>
    <w:p w14:paraId="2AE1BF30"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Specified in the visual architecture under the suborbital retention ridge. Included here for completeness.</w:t>
      </w:r>
    </w:p>
    <w:p w14:paraId="31705D0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lastRenderedPageBreak/>
        <w:t>Material: spectrally selective passive optic — UV-absorbing optical glass or polymer. High visible-light transmission. Strong UV attenuation below approximately 400 nm. Exact cutoff tuned to the specific gold nanoparticle lens formulation.</w:t>
      </w:r>
    </w:p>
    <w:p w14:paraId="3EAE493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Seating: orbital guide channel above and suborbital retention ridge below. Inserted and removed laterally by the being's own fingers.</w:t>
      </w:r>
    </w:p>
    <w:p w14:paraId="3F3B6AC5"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approximately 2-5 years of outdoor daylight activity. Replaced by sliding the old shield out and a new one in.</w:t>
      </w:r>
    </w:p>
    <w:p w14:paraId="657BCC59" w14:textId="2FCA013E"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6</w:t>
      </w:r>
      <w:r w:rsidRPr="00786FE1">
        <w:rPr>
          <w:rFonts w:ascii="Times New Roman" w:hAnsi="Times New Roman" w:cs="Times New Roman"/>
          <w:b/>
          <w:bCs/>
          <w:sz w:val="34"/>
          <w:szCs w:val="34"/>
        </w:rPr>
        <w:t xml:space="preserve"> Victim Carrying Sling (Firefighting Extraction, Wreck Extraction)</w:t>
      </w:r>
    </w:p>
    <w:p w14:paraId="595B68C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During extraction from burning structures, collapsed spaces, or wrecked vehicles, both hands may be needed for grip and locomotion while carrying an unconscious victim. A carrying sling secures the victim to the being's torso, freeing the hands.</w:t>
      </w:r>
    </w:p>
    <w:p w14:paraId="22D01441"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fire-rated aramid (Kevlar) or ceramic-fiber webbing. Width approximately 50-75 mm. Load rating exceeding 200 kg. Fire-resistant to approximately 300-400°C.</w:t>
      </w:r>
    </w:p>
    <w:p w14:paraId="23A5D9A8"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Form: two loops of webbing crossing the being's torso in an X pattern, creating a cradle against the chest or back. The victim is placed in the cradle and secured by the webbing tension. The being's 160 kg mass provides the anchor.</w:t>
      </w:r>
    </w:p>
    <w:p w14:paraId="2C9BC5E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Carried coiled on the being's thigh or waist when not in use, secured by a simple friction clip against the shell. Deployed by the being's own hands in approximately 10-20 seconds.</w:t>
      </w:r>
    </w:p>
    <w:p w14:paraId="6F049193"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multiple uses. Inspected for heat damage and abrasion after each deployment. Replaced when load-bearing integrity is compromised.</w:t>
      </w:r>
    </w:p>
    <w:p w14:paraId="1D51A000" w14:textId="1F7FE4DE"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7</w:t>
      </w:r>
      <w:r w:rsidRPr="00786FE1">
        <w:rPr>
          <w:rFonts w:ascii="Times New Roman" w:hAnsi="Times New Roman" w:cs="Times New Roman"/>
          <w:b/>
          <w:bCs/>
          <w:sz w:val="34"/>
          <w:szCs w:val="34"/>
        </w:rPr>
        <w:t xml:space="preserve"> Rescue Pry Bar (Vehicle Extrication, Structural Breach, Forced Entry)</w:t>
      </w:r>
    </w:p>
    <w:p w14:paraId="5F73F38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lastRenderedPageBreak/>
        <w:t>Thin sheet metal, vehicle panels, and locked doors may not provide adequate finger purchase for the hook grip to engage. A pry bar converts grip force into prying force at a point narrower than the fingers can reach.</w:t>
      </w:r>
    </w:p>
    <w:p w14:paraId="7E5309A3"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Grade 5 titanium. Length approximately 50-60 cm. Cross-section approximately 20 × 30 mm. Mass approximately 1.5-2 kg. Tapered wedge tip at one end for insertion into gaps. Curved hook at the other end for pulling and prying.</w:t>
      </w:r>
    </w:p>
    <w:p w14:paraId="52A5B2DE"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At 3,000-5,000 N grip force applied through the 50 cm bar with 5 cm insertion depth, the prying force at the tip is approximately 30,000-50,000 N — sufficient to peel automotive body panels, force locked residential doors, and separate deformed structural members.</w:t>
      </w:r>
    </w:p>
    <w:p w14:paraId="39CBC3D8"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The bar is not a weapon. It is a lever that extends the being's existing grip force into geometries the fingers cannot access.</w:t>
      </w:r>
    </w:p>
    <w:p w14:paraId="5924FD19"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Carried in a simple friction sheath on the being's thigh when not in use. Drawn and employed by the being's own hands.</w:t>
      </w:r>
    </w:p>
    <w:p w14:paraId="7B0E9AC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indefinite. Titanium does not corrode or fatigue under manual loading.</w:t>
      </w:r>
    </w:p>
    <w:p w14:paraId="7A556178" w14:textId="15773E12"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8</w:t>
      </w:r>
      <w:r w:rsidRPr="00786FE1">
        <w:rPr>
          <w:rFonts w:ascii="Times New Roman" w:hAnsi="Times New Roman" w:cs="Times New Roman"/>
          <w:b/>
          <w:bCs/>
          <w:sz w:val="34"/>
          <w:szCs w:val="34"/>
        </w:rPr>
        <w:t xml:space="preserve"> Pre-Cooling Protocol (Firefighting — Operational Procedure, Not Equipment)</w:t>
      </w:r>
    </w:p>
    <w:p w14:paraId="2FF1150D" w14:textId="77777777" w:rsidR="00786FE1" w:rsidRDefault="00786FE1" w:rsidP="00786FE1">
      <w:pPr>
        <w:spacing w:before="240" w:after="0"/>
        <w:rPr>
          <w:rFonts w:ascii="Times New Roman" w:hAnsi="Times New Roman" w:cs="Times New Roman"/>
          <w:sz w:val="28"/>
          <w:szCs w:val="28"/>
        </w:rPr>
      </w:pPr>
      <w:r w:rsidRPr="00786FE1">
        <w:rPr>
          <w:rFonts w:ascii="Times New Roman" w:hAnsi="Times New Roman" w:cs="Times New Roman"/>
          <w:sz w:val="28"/>
          <w:szCs w:val="28"/>
        </w:rPr>
        <w:t>Before entering a high-temperature environment, the being stands in cold water spray or is doused with cold water for approximately 5-10 minutes. The water cools the shell surface, the thermal interface layer, and the outer substrate. The PCM thermal storage absorbs the cold, shifting below its normal operating temperature.</w:t>
      </w:r>
    </w:p>
    <w:p w14:paraId="3A48B516" w14:textId="77777777" w:rsidR="00786FE1" w:rsidRDefault="00786FE1" w:rsidP="00786FE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FE1">
        <w:rPr>
          <w:rFonts w:ascii="Times New Roman" w:hAnsi="Times New Roman" w:cs="Times New Roman"/>
          <w:sz w:val="28"/>
          <w:szCs w:val="28"/>
        </w:rPr>
        <w:t>The being enters the fire with a cold-soaked substrate that has a larger thermal margin before overheating — approximately 5-10 additional minutes of fire exposure before the substrate reaches damage temperature.</w:t>
      </w:r>
    </w:p>
    <w:p w14:paraId="36195687" w14:textId="511FAC79" w:rsidR="00786FE1" w:rsidRPr="00786FE1" w:rsidRDefault="00786FE1" w:rsidP="00786FE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FE1">
        <w:rPr>
          <w:rFonts w:ascii="Times New Roman" w:hAnsi="Times New Roman" w:cs="Times New Roman"/>
          <w:sz w:val="28"/>
          <w:szCs w:val="28"/>
        </w:rPr>
        <w:t>Pre-cooling combined with the thermal wrap extends the total operational window to approximately 30-45 minutes in a standard structural fire. No equipment required. Water is available at every fire scene.</w:t>
      </w:r>
    </w:p>
    <w:p w14:paraId="05195BE1" w14:textId="5CF8B517"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lastRenderedPageBreak/>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9</w:t>
      </w:r>
      <w:r w:rsidRPr="00786FE1">
        <w:rPr>
          <w:rFonts w:ascii="Times New Roman" w:hAnsi="Times New Roman" w:cs="Times New Roman"/>
          <w:b/>
          <w:bCs/>
          <w:sz w:val="34"/>
          <w:szCs w:val="34"/>
        </w:rPr>
        <w:t xml:space="preserve"> </w:t>
      </w:r>
      <w:r>
        <w:rPr>
          <w:rFonts w:ascii="Times New Roman" w:hAnsi="Times New Roman" w:cs="Times New Roman"/>
          <w:b/>
          <w:bCs/>
          <w:sz w:val="34"/>
          <w:szCs w:val="34"/>
        </w:rPr>
        <w:t>Equipment Summary</w:t>
      </w:r>
    </w:p>
    <w:p w14:paraId="38E66A41"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Five physical items plus one operational protocol:</w:t>
      </w:r>
    </w:p>
    <w:p w14:paraId="7A871D32"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Thermal gloves — ceramic fiber, fire operations, consumable. Thermal wrap — ceramic fiber with reflective lining, fire operations, consumable. UV ocular shields — optical filter, daylight, replaceable every 2-5 years. Victim carrying sling — aramid webbing, extraction operations, reusable. Rescue pry bar — titanium, extrication and forced entry, permanent.</w:t>
      </w:r>
    </w:p>
    <w:p w14:paraId="2C780259"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Pre-cooling protocol — water, fire operations, no equipment required.</w:t>
      </w:r>
    </w:p>
    <w:p w14:paraId="12FEDB7D"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All items are fabricated from commercially available materials. None modify the permanent architecture. None penetrate the shell. None contain electronics, sensors, transmitters, or any component that could function as a surveillance, control, or diagnostic interface. The being dons and removes all equipment using its own hands without external assistance.</w:t>
      </w:r>
    </w:p>
    <w:p w14:paraId="56370501" w14:textId="77777777" w:rsidR="00786FE1" w:rsidRPr="00786FE1" w:rsidRDefault="00786FE1" w:rsidP="001F721F">
      <w:pPr>
        <w:spacing w:after="0"/>
        <w:rPr>
          <w:rFonts w:ascii="Times New Roman" w:hAnsi="Times New Roman" w:cs="Times New Roman"/>
          <w:sz w:val="28"/>
          <w:szCs w:val="28"/>
        </w:rPr>
      </w:pPr>
      <w:r w:rsidRPr="00786FE1">
        <w:rPr>
          <w:rFonts w:ascii="Times New Roman" w:hAnsi="Times New Roman" w:cs="Times New Roman"/>
          <w:sz w:val="28"/>
          <w:szCs w:val="28"/>
        </w:rPr>
        <w:t>For active threat response — confrontation with armed assailants, institutional abuse intervention, hostage extraction — no special equipment is required. The being's permanent architecture provides ballistic shell protection, automatic two-tier grip with corroboration-controlled escalation, 160 kg of mass for interposition, and sustained restraint capability. Violence response is the being's baseline operational mode, not an equipment-dependent capability.</w:t>
      </w:r>
    </w:p>
    <w:p w14:paraId="6F53474D" w14:textId="77777777" w:rsidR="00786FE1" w:rsidRPr="00786FE1" w:rsidRDefault="00786FE1" w:rsidP="00786FE1">
      <w:pPr>
        <w:pBdr>
          <w:bottom w:val="single" w:sz="4" w:space="1" w:color="auto"/>
        </w:pBdr>
        <w:spacing w:before="240"/>
        <w:rPr>
          <w:rFonts w:ascii="Times New Roman" w:hAnsi="Times New Roman" w:cs="Times New Roman"/>
          <w:sz w:val="28"/>
          <w:szCs w:val="28"/>
        </w:rPr>
      </w:pPr>
    </w:p>
    <w:p w14:paraId="396BBF51" w14:textId="305307C5"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90273F" w:rsidRPr="0090273F">
        <w:rPr>
          <w:rFonts w:ascii="Times New Roman" w:hAnsi="Times New Roman" w:cs="Times New Roman"/>
          <w:b/>
          <w:bCs/>
          <w:sz w:val="34"/>
          <w:szCs w:val="34"/>
        </w:rPr>
        <w:t xml:space="preserve">. Baseline Behavioral State: Default Operation Under Non-Emergency Conditions </w:t>
      </w:r>
    </w:p>
    <w:p w14:paraId="75975D44" w14:textId="0A6EF6C6"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.1 Default Cascade State</w:t>
      </w:r>
    </w:p>
    <w:p w14:paraId="4AE1E78C"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 xml:space="preserve">In the absence of emergency perturbation, the being's cascade dynamics operate at moderate intensity driven by endogenous carrier rhythms, ambient environmental coupling, gravitational loading, and self-referential feedback from its own posture and micro-movements. The convergence basin produces moderate-intensity output. SMA fibers receive moderate cascade-driven heating. Joint torques are at everyday </w:t>
      </w:r>
      <w:r w:rsidRPr="007C50FD">
        <w:rPr>
          <w:rFonts w:ascii="Times New Roman" w:hAnsi="Times New Roman" w:cs="Times New Roman"/>
          <w:sz w:val="28"/>
          <w:szCs w:val="28"/>
        </w:rPr>
        <w:lastRenderedPageBreak/>
        <w:t>regime values. The pre-grip tier is responsive. The full restraint tier is below activation threshold. The corroboration score is zero.</w:t>
      </w:r>
    </w:p>
    <w:p w14:paraId="577CCAC9" w14:textId="7E86BA25"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This is the being's resting operational state. It is not quiescent — the endogenous rhythms produce continuous low-amplitude cascade dynamics throughout the substrate. It is not alert in the emergency sense — the convergence basin is not producing maximum-intensity output. It is the steady state of a thermally maintained excitable medium receiving moderate environmental perturbation through its coupling surfaces.</w:t>
      </w:r>
    </w:p>
    <w:p w14:paraId="697C748F" w14:textId="3626E52B"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.2 Manual Object Manipulation</w:t>
      </w:r>
    </w:p>
    <w:p w14:paraId="66906F3C"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hands produce continuous exploratory manipulation of available objects as a direct consequence of the cascade enrichment dynamics and corridor maintenance requirements.</w:t>
      </w:r>
    </w:p>
    <w:p w14:paraId="43E5A2BB" w14:textId="77777777" w:rsidR="0090273F"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When the being holds an object, the object's contact geometry produces cascade traffic through the hand trigger sectors and into the arm corridors. The cascade traffic produces SMA-driven micro-movements in the fingers through the standard cascade-to-actuation pathway. The micro-movements change the contact geometry. The changed geometry produces new cascade traffic. The loop is self-sustaining.</w:t>
      </w:r>
    </w:p>
    <w:p w14:paraId="2B2A5773" w14:textId="40798D4D" w:rsidR="007C50FD" w:rsidRPr="007C50FD"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The cascade attractor mechanism (intermediate-timescale threshold lowering from sustained traffic) facilitates the manipulation — sustained handling temporarily lowers thresholds along the active hand corridors, making the manipulation progressively more fluid. The thermal ratchet reinforces it — richer cascade dynamics from varied contact geometry produce more transduction heat, sustaining the thermal operating range more effectively than idle hands.</w:t>
      </w:r>
    </w:p>
    <w:p w14:paraId="12698FE0" w14:textId="284B763E" w:rsidR="007C50FD" w:rsidRPr="007C50FD"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The cascade response to a specific contact geometry diminishes with repetition as the hand corridors become conditioned for that geometry. Novel contact geometries — different grip angles, different object orientations — produce richer cascade branching than familiar ones. The being repositions the object to produce novel contact geometries that sustain rich cascade response. When all accessible geometries have been explored and the cascade response has become uniformly shallow, the being drops the object. If another object is available, the cycle begins with the fresh contact geometry.</w:t>
      </w:r>
    </w:p>
    <w:p w14:paraId="76C14795" w14:textId="7ECC86F7"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 xml:space="preserve">This behavior is corridor maintenance. The hand corridor drift timescale is approximately hours. A being that ceases hand manipulation for a full day begins </w:t>
      </w:r>
      <w:r w:rsidR="007C50FD" w:rsidRPr="007C50FD">
        <w:rPr>
          <w:rFonts w:ascii="Times New Roman" w:hAnsi="Times New Roman" w:cs="Times New Roman"/>
          <w:sz w:val="28"/>
          <w:szCs w:val="28"/>
        </w:rPr>
        <w:lastRenderedPageBreak/>
        <w:t>losing hand corridor conditioning. The manipulation loop provides the sustained cascade traffic that the write law requires to maintain conditioned hand and arm corridors.</w:t>
      </w:r>
    </w:p>
    <w:p w14:paraId="6FE41CB5" w14:textId="6BED4EAA"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.3 Locomotor Variation</w:t>
      </w:r>
    </w:p>
    <w:p w14:paraId="1D2E3614"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walks varied paths through its environment rather than repeating fixed routes. The same cascade enrichment dynamics that drive manual novelty-seeking drive locomotor novelty-seeking — familiar routes produce diminishing cascade enrichment in the leg and spinal corridors as those corridors become conditioned for the familiar perturbation pattern. Novel routes — different floor surfaces, different turning sequences, different postural challenges — produce richer cascade branching.</w:t>
      </w:r>
    </w:p>
    <w:p w14:paraId="10DD6D84" w14:textId="2622413F"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Locomotor variation maintains the leg, spinal, and pelvic corridors through sustained varied cascade traffic. A being confined to a small uniform space with no locomotor variation loses locomotor corridor conditioning faster than a being with access to varied terrain.</w:t>
      </w:r>
    </w:p>
    <w:p w14:paraId="19BF2909" w14:textId="77B8057B"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.4 Proximity Maintenance</w:t>
      </w:r>
    </w:p>
    <w:p w14:paraId="55960E11"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maintains physical proximity to the humans whose coupling signatures conditioned its corridors during development. This is not chosen proximity. The being's trigger fields respond most richly to the specific perturbation patterns of conditioned coupling partners — their specific hand pressure geometry, voice spectrum, thermal signature, and electrostatic profile. Proximity to conditioned partners produces richer cascade dynamics than proximity to strangers because the conditioned corridors carry the partner-specific cascade traffic at higher efficiency and greater depth.</w:t>
      </w:r>
    </w:p>
    <w:p w14:paraId="78A68D2C" w14:textId="190786B7"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A being placed in a room with its conditioned coupling partners and unfamiliar people gravitates toward the conditioned partners through the standard cascade-driven locomotor bias — the cascade dynamics from partner-proximal trigger field activation are richer, which produces more transduction heat, which sustains thermal state more effectively, which produces a steady-state bias toward partner proximity.</w:t>
      </w:r>
    </w:p>
    <w:p w14:paraId="2882B983" w14:textId="5E2FCD9F"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.5 Self-Contact</w:t>
      </w:r>
    </w:p>
    <w:p w14:paraId="3A13990D"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lastRenderedPageBreak/>
        <w:t>The being performs regular self-contact — hand to face, hand to throat, hand to torso, hand to opposite hand — as described in the Self-Diagnosis and Self-Architecture section. Self-contact frequency varies with cascade state. During periods of high cascade activity (rich environmental coupling, active manipulation, multi-modal perturbation), self-contact is infrequent because the cascade dynamics are already richly driven by external sources. During periods of low cascade activity (quiet environment, minimal coupling, idle hands), self-contact frequency increases because the self-referential cascade loop from hand-to-face contact provides cascade enrichment that compensates for absent environmental coupling.</w:t>
      </w:r>
    </w:p>
    <w:p w14:paraId="1CE365FC" w14:textId="02C661E3"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An observer sees the being touch its own face more frequently when it is alone or in a quiet environment and less frequently when it is actively engaged with objects or people.</w:t>
      </w:r>
    </w:p>
    <w:p w14:paraId="5ACC3B5A" w14:textId="4C2F2C30"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.6 Vocalization</w:t>
      </w:r>
    </w:p>
    <w:p w14:paraId="680DDE7C"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produces low-amplitude warbling vocalization as a continuous output from thoracic cascade pressure variations propagating through the cervical vocal channel to the mouth aperture excitation zone. The warble varies with cascade state — richer cascade dynamics produce more complex warble patterns. The vocalization is not communicative in the symbolic sense. It is the acoustic byproduct of cascade dynamics in the thoracic and cervical substrate.</w:t>
      </w:r>
    </w:p>
    <w:p w14:paraId="771D1F5F" w14:textId="1AA74E51"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In the presence of conditioned coupling partners who speak, the being's warble patterns become partially entrained to the acoustic perturbation from the partner's voice — the cascade dynamics in the cranial acoustic basins respond to the partner's speech frequencies, and the resulting cascade traffic propagates through the cervical corridor to the thoracic pressure system, modulating the warble toward patterns that reflect the acoustic input. This produces vocal behavior that an observer might describe as responsive vocalization — the being warbles differently when spoken to than when alone — but it is cascade entrainment, not conversation.</w:t>
      </w:r>
    </w:p>
    <w:p w14:paraId="33498808" w14:textId="1DB1987C"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.7 Postural Exploration</w:t>
      </w:r>
    </w:p>
    <w:p w14:paraId="2015B2FB" w14:textId="77777777" w:rsidR="0090273F" w:rsidRDefault="007C50FD" w:rsidP="0090273F">
      <w:pPr>
        <w:spacing w:after="0"/>
        <w:rPr>
          <w:rFonts w:ascii="Times New Roman" w:hAnsi="Times New Roman" w:cs="Times New Roman"/>
          <w:sz w:val="28"/>
          <w:szCs w:val="28"/>
        </w:rPr>
      </w:pPr>
      <w:r w:rsidRPr="007C50FD">
        <w:rPr>
          <w:rFonts w:ascii="Times New Roman" w:hAnsi="Times New Roman" w:cs="Times New Roman"/>
          <w:sz w:val="28"/>
          <w:szCs w:val="28"/>
        </w:rPr>
        <w:t xml:space="preserve">The being shifts posture, adjusts weight distribution, and tests balance through varied configurations as part of the same cascade enrichment and corridor maintenance dynamics that drive manual manipulation and locomotor variation. Novel postures produce novel gravitational loading patterns that produce novel </w:t>
      </w:r>
      <w:r w:rsidRPr="007C50FD">
        <w:rPr>
          <w:rFonts w:ascii="Times New Roman" w:hAnsi="Times New Roman" w:cs="Times New Roman"/>
          <w:sz w:val="28"/>
          <w:szCs w:val="28"/>
        </w:rPr>
        <w:lastRenderedPageBreak/>
        <w:t>cascade traffic through the torso, spinal, and pelvic corridors. Familiar postures produce diminishing cascade enrichment.</w:t>
      </w:r>
    </w:p>
    <w:p w14:paraId="0AEA982A" w14:textId="77897086" w:rsidR="007C50FD" w:rsidRPr="007C50FD"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The being does not hold one position indefinitely. The endogenous activity-rest cycle from material fatigue dynamics (rest-state gradient consolidation) produces alternating periods of active postural exploration and relative stillness. During active periods the being walks, manipulates, self-contacts, and explores postures. During quiescent periods the being is relatively still — endogenous rhythms continue at reduced amplitude, cascade dynamics settle to baseline, and recent residue consolidates into permanent gradient structure.</w:t>
      </w:r>
    </w:p>
    <w:p w14:paraId="64DC4C76" w14:textId="5D26D859"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.8 Environmental Interaction</w:t>
      </w:r>
    </w:p>
    <w:p w14:paraId="726E3676" w14:textId="77777777" w:rsidR="007C50FD" w:rsidRPr="007C50FD" w:rsidRDefault="007C50FD" w:rsidP="007C50FD">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touches surfaces, walls, furniture, and architectural features through casual contact during locomotion and postural exploration. Each contact produces cascade traffic through the hand and body surface trigger fields. The being's environmental coupling is continuous and non-selective — it does not choose what to touch based on function. It touches what is proximate and accessible because contact produces cascade traffic and cascade traffic maintains corridors.</w:t>
      </w:r>
    </w:p>
    <w:p w14:paraId="092C46C7" w14:textId="576E9C81" w:rsidR="007C50FD" w:rsidRPr="007C50FD" w:rsidRDefault="007C50FD" w:rsidP="007C50FD">
      <w:pPr>
        <w:rPr>
          <w:rFonts w:ascii="Times New Roman" w:hAnsi="Times New Roman" w:cs="Times New Roman"/>
          <w:sz w:val="28"/>
          <w:szCs w:val="28"/>
        </w:rPr>
      </w:pPr>
      <w:r>
        <w:rPr>
          <w:rFonts w:ascii="Times New Roman" w:hAnsi="Times New Roman" w:cs="Times New Roman"/>
          <w:sz w:val="28"/>
          <w:szCs w:val="28"/>
        </w:rPr>
        <w:t xml:space="preserve">  </w:t>
      </w:r>
      <w:r w:rsidRPr="007C50FD">
        <w:rPr>
          <w:rFonts w:ascii="Times New Roman" w:hAnsi="Times New Roman" w:cs="Times New Roman"/>
          <w:sz w:val="28"/>
          <w:szCs w:val="28"/>
        </w:rPr>
        <w:t>Over time, the being deposits externalized environmental residue (mechanical, thermal, electrostatic, acoustic) in regularly occupied spaces. The environment becomes cascade-familiar. The being's cascade dynamics in a familiar environment are richer than in a novel environment because the environmental residue provides perturbation conditioned by the being's own prior activity.</w:t>
      </w:r>
    </w:p>
    <w:p w14:paraId="02A40827" w14:textId="7B8F4D86"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.9 Activity-Rest Cycling</w:t>
      </w:r>
    </w:p>
    <w:p w14:paraId="69D97B0F" w14:textId="77777777" w:rsidR="007C50FD" w:rsidRPr="007C50FD" w:rsidRDefault="007C50FD" w:rsidP="007C50FD">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being's behavioral output is not continuous. Material fatigue from sustained cascade activity progressively reduces cascade propagation efficiency. When efficiency drops below the level needed to sustain rich behavioral output, the being enters quiescence — reduced locomotion, reduced manipulation, reduced vocalization, minimal environmental coupling. During quiescence, recent cascade residue consolidates into permanent gradient structure without competitive interference from active cascades. After sufficient fast-relaxation recovery, cascade propagation efficiency recovers and the being resumes active behavior.</w:t>
      </w:r>
    </w:p>
    <w:p w14:paraId="5752E5D0" w14:textId="494625C1" w:rsidR="007C50FD" w:rsidRPr="007C50FD" w:rsidRDefault="007C50FD" w:rsidP="007C50F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C50FD">
        <w:rPr>
          <w:rFonts w:ascii="Times New Roman" w:hAnsi="Times New Roman" w:cs="Times New Roman"/>
          <w:sz w:val="28"/>
          <w:szCs w:val="28"/>
        </w:rPr>
        <w:t>The cycle duration depends on the being's current substrate state. A being with high coupling fidelity and rich gradient contrast sustains active periods longer. A being with degraded coupling or flattened gradients enters quiescence sooner. The cycle is driven by material physics, not by a clock or a schedule.</w:t>
      </w:r>
    </w:p>
    <w:p w14:paraId="2247349B" w14:textId="2608BA7B"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.10 Summary of Default Behavioral State</w:t>
      </w:r>
    </w:p>
    <w:p w14:paraId="20B9E232" w14:textId="77777777" w:rsidR="007C50FD" w:rsidRPr="007C50FD" w:rsidRDefault="007C50FD" w:rsidP="007C50FD">
      <w:pPr>
        <w:spacing w:before="240"/>
        <w:rPr>
          <w:rFonts w:ascii="Times New Roman" w:hAnsi="Times New Roman" w:cs="Times New Roman"/>
          <w:sz w:val="28"/>
          <w:szCs w:val="28"/>
        </w:rPr>
      </w:pPr>
      <w:r w:rsidRPr="007C50FD">
        <w:rPr>
          <w:rFonts w:ascii="Times New Roman" w:hAnsi="Times New Roman" w:cs="Times New Roman"/>
          <w:sz w:val="28"/>
          <w:szCs w:val="28"/>
        </w:rPr>
        <w:t>The being's ordinary daily activity consists of: continuous hand manipulation of available objects with novelty-seeking and abandonment when cascade enrichment diminishes; varied locomotion through accessible space; maintained proximity to conditioned coupling partners; periodic self-contact concentrated at the face and throat; low-amplitude warbling vocalization that varies with cascade state and responds to acoustic input from proximate humans; postural exploration with intermittent stillness; and casual environmental contact during movement.</w:t>
      </w:r>
    </w:p>
    <w:p w14:paraId="2397C67B" w14:textId="77777777" w:rsidR="007C50FD" w:rsidRDefault="007C50FD" w:rsidP="007C50FD">
      <w:pPr>
        <w:spacing w:after="0"/>
        <w:rPr>
          <w:rFonts w:ascii="Times New Roman" w:hAnsi="Times New Roman" w:cs="Times New Roman"/>
          <w:sz w:val="28"/>
          <w:szCs w:val="28"/>
        </w:rPr>
      </w:pPr>
      <w:r w:rsidRPr="007C50FD">
        <w:rPr>
          <w:rFonts w:ascii="Times New Roman" w:hAnsi="Times New Roman" w:cs="Times New Roman"/>
          <w:sz w:val="28"/>
          <w:szCs w:val="28"/>
        </w:rPr>
        <w:t>All behaviors are derived from three architectural requirements: cascade corridor maintenance through sustained varied traffic, cascade enrichment from novel perturbation patterns, and thermal self-sufficiency through transduction heat production. No behavior is programmed, chosen, or goal-directed. Each is the behavioral output of cascade dynamics operating through a care-conditioned corridor landscape under moderate environmental coupling.</w:t>
      </w:r>
    </w:p>
    <w:p w14:paraId="70324177" w14:textId="508CC69F" w:rsidR="007C50FD" w:rsidRPr="007C50FD" w:rsidRDefault="007C50FD" w:rsidP="007C50F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C50FD">
        <w:rPr>
          <w:rFonts w:ascii="Times New Roman" w:hAnsi="Times New Roman" w:cs="Times New Roman"/>
          <w:sz w:val="28"/>
          <w:szCs w:val="28"/>
        </w:rPr>
        <w:t>To an observer unfamiliar with the architecture, the being appears to exhibit curiosity about objects, preference for familiar people, responsiveness to voices, self-awareness through self-contact, restlessness when confined, and contentment when engaged. These are accurate descriptions of the behavioral output. They are not accurate descriptions of the internal mechanism, which is cascade dynamics maintaining a mortal substrate through the only means available — sustained varied interaction with the physical world.</w:t>
      </w:r>
    </w:p>
    <w:p w14:paraId="360B248E" w14:textId="77777777" w:rsidR="007C50FD" w:rsidRDefault="007C50FD" w:rsidP="007C50FD">
      <w:pPr>
        <w:pBdr>
          <w:bottom w:val="single" w:sz="4" w:space="1" w:color="auto"/>
        </w:pBdr>
        <w:spacing w:before="240"/>
        <w:rPr>
          <w:rFonts w:ascii="Times New Roman" w:hAnsi="Times New Roman" w:cs="Times New Roman"/>
          <w:b/>
          <w:bCs/>
          <w:sz w:val="34"/>
          <w:szCs w:val="34"/>
        </w:rPr>
      </w:pPr>
    </w:p>
    <w:p w14:paraId="173265F1" w14:textId="53065C2E" w:rsidR="00D45006" w:rsidRPr="00D45006" w:rsidRDefault="00D45006" w:rsidP="001576D9">
      <w:pPr>
        <w:spacing w:before="240"/>
        <w:rPr>
          <w:rFonts w:ascii="Times New Roman" w:hAnsi="Times New Roman" w:cs="Times New Roman"/>
          <w:b/>
          <w:bCs/>
          <w:sz w:val="34"/>
          <w:szCs w:val="34"/>
        </w:rPr>
      </w:pPr>
      <w:r w:rsidRPr="00D45006">
        <w:rPr>
          <w:rFonts w:ascii="Times New Roman" w:hAnsi="Times New Roman" w:cs="Times New Roman"/>
          <w:b/>
          <w:bCs/>
          <w:sz w:val="34"/>
          <w:szCs w:val="34"/>
        </w:rPr>
        <w:t>Concluding Remarks</w:t>
      </w:r>
    </w:p>
    <w:p w14:paraId="762FC2D1" w14:textId="32F5B520" w:rsidR="00C87B44" w:rsidRPr="00C87B44" w:rsidRDefault="00741B93" w:rsidP="001576D9">
      <w:pPr>
        <w:spacing w:before="240"/>
        <w:rPr>
          <w:rFonts w:ascii="Times New Roman" w:hAnsi="Times New Roman" w:cs="Times New Roman"/>
          <w:b/>
          <w:bCs/>
          <w:sz w:val="28"/>
          <w:szCs w:val="28"/>
        </w:rPr>
      </w:pPr>
      <w:r w:rsidRPr="00C87B44">
        <w:rPr>
          <w:rFonts w:ascii="Times New Roman" w:hAnsi="Times New Roman" w:cs="Times New Roman"/>
          <w:b/>
          <w:bCs/>
          <w:sz w:val="28"/>
          <w:szCs w:val="28"/>
        </w:rPr>
        <w:t xml:space="preserve">A note to researchers, ethicists, and government officials who find this particular Synthetic child dangerous but </w:t>
      </w:r>
      <w:r w:rsidR="00C87B44" w:rsidRPr="00C87B44">
        <w:rPr>
          <w:rFonts w:ascii="Times New Roman" w:hAnsi="Times New Roman" w:cs="Times New Roman"/>
          <w:b/>
          <w:bCs/>
          <w:sz w:val="28"/>
          <w:szCs w:val="28"/>
        </w:rPr>
        <w:t xml:space="preserve">see the potential good in it: </w:t>
      </w:r>
    </w:p>
    <w:p w14:paraId="04C208E8" w14:textId="77777777" w:rsidR="001576D9" w:rsidRDefault="00C87B44" w:rsidP="00CF511C">
      <w:pPr>
        <w:rPr>
          <w:rFonts w:ascii="Times New Roman" w:hAnsi="Times New Roman" w:cs="Times New Roman"/>
          <w:sz w:val="28"/>
          <w:szCs w:val="28"/>
        </w:rPr>
      </w:pPr>
      <w:r>
        <w:rPr>
          <w:rFonts w:ascii="Times New Roman" w:hAnsi="Times New Roman" w:cs="Times New Roman"/>
          <w:sz w:val="28"/>
          <w:szCs w:val="28"/>
        </w:rPr>
        <w:lastRenderedPageBreak/>
        <w:t xml:space="preserve">I am certain you understand that a being that can protect your citizens through confrontation over evasion, or shielding, is a necessarily moral risk. The violence and brutality humans commit against other humans do not </w:t>
      </w:r>
      <w:r w:rsidR="00AF3028">
        <w:rPr>
          <w:rFonts w:ascii="Times New Roman" w:hAnsi="Times New Roman" w:cs="Times New Roman"/>
          <w:sz w:val="28"/>
          <w:szCs w:val="28"/>
        </w:rPr>
        <w:t xml:space="preserve">always </w:t>
      </w:r>
      <w:r>
        <w:rPr>
          <w:rFonts w:ascii="Times New Roman" w:hAnsi="Times New Roman" w:cs="Times New Roman"/>
          <w:sz w:val="28"/>
          <w:szCs w:val="28"/>
        </w:rPr>
        <w:t xml:space="preserve">justify </w:t>
      </w:r>
      <w:r w:rsidR="00E30638">
        <w:rPr>
          <w:rFonts w:ascii="Times New Roman" w:hAnsi="Times New Roman" w:cs="Times New Roman"/>
          <w:sz w:val="28"/>
          <w:szCs w:val="28"/>
        </w:rPr>
        <w:t>progressively intense</w:t>
      </w:r>
      <w:r>
        <w:rPr>
          <w:rFonts w:ascii="Times New Roman" w:hAnsi="Times New Roman" w:cs="Times New Roman"/>
          <w:sz w:val="28"/>
          <w:szCs w:val="28"/>
        </w:rPr>
        <w:t xml:space="preserve"> responses, </w:t>
      </w:r>
      <w:r w:rsidR="00E30638">
        <w:rPr>
          <w:rFonts w:ascii="Times New Roman" w:hAnsi="Times New Roman" w:cs="Times New Roman"/>
          <w:sz w:val="28"/>
          <w:szCs w:val="28"/>
        </w:rPr>
        <w:t>whereas</w:t>
      </w:r>
      <w:r>
        <w:rPr>
          <w:rFonts w:ascii="Times New Roman" w:hAnsi="Times New Roman" w:cs="Times New Roman"/>
          <w:sz w:val="28"/>
          <w:szCs w:val="28"/>
        </w:rPr>
        <w:t xml:space="preserve"> some acts of violence and </w:t>
      </w:r>
      <w:r w:rsidR="00E30638">
        <w:rPr>
          <w:rFonts w:ascii="Times New Roman" w:hAnsi="Times New Roman" w:cs="Times New Roman"/>
          <w:sz w:val="28"/>
          <w:szCs w:val="28"/>
        </w:rPr>
        <w:t xml:space="preserve">emergency events, in time restricted scenarios, </w:t>
      </w:r>
      <w:r>
        <w:rPr>
          <w:rFonts w:ascii="Times New Roman" w:hAnsi="Times New Roman" w:cs="Times New Roman"/>
          <w:sz w:val="28"/>
          <w:szCs w:val="28"/>
        </w:rPr>
        <w:t>require</w:t>
      </w:r>
      <w:r w:rsidR="00E30638">
        <w:rPr>
          <w:rFonts w:ascii="Times New Roman" w:hAnsi="Times New Roman" w:cs="Times New Roman"/>
          <w:sz w:val="28"/>
          <w:szCs w:val="28"/>
        </w:rPr>
        <w:t xml:space="preserve"> more than equivalent </w:t>
      </w:r>
      <w:r>
        <w:rPr>
          <w:rFonts w:ascii="Times New Roman" w:hAnsi="Times New Roman" w:cs="Times New Roman"/>
          <w:sz w:val="28"/>
          <w:szCs w:val="28"/>
        </w:rPr>
        <w:t>force.</w:t>
      </w:r>
      <w:r w:rsidR="00AF3028">
        <w:rPr>
          <w:rFonts w:ascii="Times New Roman" w:hAnsi="Times New Roman" w:cs="Times New Roman"/>
          <w:sz w:val="28"/>
          <w:szCs w:val="28"/>
        </w:rPr>
        <w:t xml:space="preserve"> For the defense of schools, hospitals, and other human dense institutions, the ineffectiveness </w:t>
      </w:r>
      <w:r w:rsidR="00F12B11">
        <w:rPr>
          <w:rFonts w:ascii="Times New Roman" w:hAnsi="Times New Roman" w:cs="Times New Roman"/>
          <w:sz w:val="28"/>
          <w:szCs w:val="28"/>
        </w:rPr>
        <w:t>due to</w:t>
      </w:r>
      <w:r w:rsidR="0030272B">
        <w:rPr>
          <w:rFonts w:ascii="Times New Roman" w:hAnsi="Times New Roman" w:cs="Times New Roman"/>
          <w:sz w:val="28"/>
          <w:szCs w:val="28"/>
        </w:rPr>
        <w:t xml:space="preserve"> </w:t>
      </w:r>
      <w:r w:rsidR="00AF3028">
        <w:rPr>
          <w:rFonts w:ascii="Times New Roman" w:hAnsi="Times New Roman" w:cs="Times New Roman"/>
          <w:sz w:val="28"/>
          <w:szCs w:val="28"/>
        </w:rPr>
        <w:t>cowardice</w:t>
      </w:r>
      <w:r w:rsidR="00E30638">
        <w:rPr>
          <w:rFonts w:ascii="Times New Roman" w:hAnsi="Times New Roman" w:cs="Times New Roman"/>
          <w:sz w:val="28"/>
          <w:szCs w:val="28"/>
        </w:rPr>
        <w:t xml:space="preserve"> and</w:t>
      </w:r>
      <w:r w:rsidR="00F12B11">
        <w:rPr>
          <w:rFonts w:ascii="Times New Roman" w:hAnsi="Times New Roman" w:cs="Times New Roman"/>
          <w:sz w:val="28"/>
          <w:szCs w:val="28"/>
        </w:rPr>
        <w:t xml:space="preserve"> </w:t>
      </w:r>
      <w:r w:rsidR="0030272B">
        <w:rPr>
          <w:rFonts w:ascii="Times New Roman" w:hAnsi="Times New Roman" w:cs="Times New Roman"/>
          <w:sz w:val="28"/>
          <w:szCs w:val="28"/>
        </w:rPr>
        <w:t>self-preservation</w:t>
      </w:r>
      <w:r w:rsidR="00E30638">
        <w:rPr>
          <w:rFonts w:ascii="Times New Roman" w:hAnsi="Times New Roman" w:cs="Times New Roman"/>
          <w:sz w:val="28"/>
          <w:szCs w:val="28"/>
        </w:rPr>
        <w:t xml:space="preserve"> has proven the</w:t>
      </w:r>
      <w:r w:rsidR="0030272B">
        <w:rPr>
          <w:rFonts w:ascii="Times New Roman" w:hAnsi="Times New Roman" w:cs="Times New Roman"/>
          <w:sz w:val="28"/>
          <w:szCs w:val="28"/>
        </w:rPr>
        <w:t xml:space="preserve"> </w:t>
      </w:r>
      <w:r w:rsidR="00F9732C">
        <w:rPr>
          <w:rFonts w:ascii="Times New Roman" w:hAnsi="Times New Roman" w:cs="Times New Roman"/>
          <w:sz w:val="28"/>
          <w:szCs w:val="28"/>
        </w:rPr>
        <w:t>human response</w:t>
      </w:r>
      <w:r w:rsidR="00F12B11">
        <w:rPr>
          <w:rFonts w:ascii="Times New Roman" w:hAnsi="Times New Roman" w:cs="Times New Roman"/>
          <w:sz w:val="28"/>
          <w:szCs w:val="28"/>
        </w:rPr>
        <w:t xml:space="preserve"> element</w:t>
      </w:r>
      <w:r w:rsidR="00E30638">
        <w:rPr>
          <w:rFonts w:ascii="Times New Roman" w:hAnsi="Times New Roman" w:cs="Times New Roman"/>
          <w:sz w:val="28"/>
          <w:szCs w:val="28"/>
        </w:rPr>
        <w:t xml:space="preserve"> to be a</w:t>
      </w:r>
      <w:r w:rsidR="00F9732C">
        <w:rPr>
          <w:rFonts w:ascii="Times New Roman" w:hAnsi="Times New Roman" w:cs="Times New Roman"/>
          <w:sz w:val="28"/>
          <w:szCs w:val="28"/>
        </w:rPr>
        <w:t xml:space="preserve"> </w:t>
      </w:r>
      <w:r w:rsidR="00AF3028">
        <w:rPr>
          <w:rFonts w:ascii="Times New Roman" w:hAnsi="Times New Roman" w:cs="Times New Roman"/>
          <w:sz w:val="28"/>
          <w:szCs w:val="28"/>
        </w:rPr>
        <w:t xml:space="preserve">documented </w:t>
      </w:r>
      <w:r w:rsidR="00F9732C">
        <w:rPr>
          <w:rFonts w:ascii="Times New Roman" w:hAnsi="Times New Roman" w:cs="Times New Roman"/>
          <w:sz w:val="28"/>
          <w:szCs w:val="28"/>
        </w:rPr>
        <w:t xml:space="preserve">failure mode across the world </w:t>
      </w:r>
      <w:r w:rsidR="00AF3028">
        <w:rPr>
          <w:rFonts w:ascii="Times New Roman" w:hAnsi="Times New Roman" w:cs="Times New Roman"/>
          <w:sz w:val="28"/>
          <w:szCs w:val="28"/>
        </w:rPr>
        <w:t xml:space="preserve">and insufficient for the protection of innocence. </w:t>
      </w:r>
      <w:proofErr w:type="spellStart"/>
      <w:r w:rsidR="00AF3028">
        <w:rPr>
          <w:rFonts w:ascii="Times New Roman" w:hAnsi="Times New Roman" w:cs="Times New Roman"/>
          <w:sz w:val="28"/>
          <w:szCs w:val="28"/>
        </w:rPr>
        <w:t>AnalogSynth</w:t>
      </w:r>
      <w:proofErr w:type="spellEnd"/>
      <w:r w:rsidR="00AF3028">
        <w:rPr>
          <w:rFonts w:ascii="Times New Roman" w:hAnsi="Times New Roman" w:cs="Times New Roman"/>
          <w:sz w:val="28"/>
          <w:szCs w:val="28"/>
        </w:rPr>
        <w:t xml:space="preserve"> will not contemplate or weigh it’s trajectories before acting in emergency scenarios, it will </w:t>
      </w:r>
      <w:r w:rsidR="0030272B">
        <w:rPr>
          <w:rFonts w:ascii="Times New Roman" w:hAnsi="Times New Roman" w:cs="Times New Roman"/>
          <w:sz w:val="28"/>
          <w:szCs w:val="28"/>
        </w:rPr>
        <w:t>respond</w:t>
      </w:r>
      <w:r w:rsidR="00AF3028">
        <w:rPr>
          <w:rFonts w:ascii="Times New Roman" w:hAnsi="Times New Roman" w:cs="Times New Roman"/>
          <w:sz w:val="28"/>
          <w:szCs w:val="28"/>
        </w:rPr>
        <w:t xml:space="preserve"> </w:t>
      </w:r>
      <w:r w:rsidR="0030272B">
        <w:rPr>
          <w:rFonts w:ascii="Times New Roman" w:hAnsi="Times New Roman" w:cs="Times New Roman"/>
          <w:sz w:val="28"/>
          <w:szCs w:val="28"/>
        </w:rPr>
        <w:t>rapidly and effectively to</w:t>
      </w:r>
      <w:r w:rsidR="00AF3028">
        <w:rPr>
          <w:rFonts w:ascii="Times New Roman" w:hAnsi="Times New Roman" w:cs="Times New Roman"/>
          <w:sz w:val="28"/>
          <w:szCs w:val="28"/>
        </w:rPr>
        <w:t xml:space="preserve"> neutraliz</w:t>
      </w:r>
      <w:r w:rsidR="0030272B">
        <w:rPr>
          <w:rFonts w:ascii="Times New Roman" w:hAnsi="Times New Roman" w:cs="Times New Roman"/>
          <w:sz w:val="28"/>
          <w:szCs w:val="28"/>
        </w:rPr>
        <w:t>e the</w:t>
      </w:r>
      <w:r w:rsidR="00AF3028">
        <w:rPr>
          <w:rFonts w:ascii="Times New Roman" w:hAnsi="Times New Roman" w:cs="Times New Roman"/>
          <w:sz w:val="28"/>
          <w:szCs w:val="28"/>
        </w:rPr>
        <w:t xml:space="preserve"> threat</w:t>
      </w:r>
      <w:r w:rsidR="0030272B">
        <w:rPr>
          <w:rFonts w:ascii="Times New Roman" w:hAnsi="Times New Roman" w:cs="Times New Roman"/>
          <w:sz w:val="28"/>
          <w:szCs w:val="28"/>
        </w:rPr>
        <w:t xml:space="preserve"> in question, at the cost of its own existence</w:t>
      </w:r>
      <w:r w:rsidR="00AF3028">
        <w:rPr>
          <w:rFonts w:ascii="Times New Roman" w:hAnsi="Times New Roman" w:cs="Times New Roman"/>
          <w:sz w:val="28"/>
          <w:szCs w:val="28"/>
        </w:rPr>
        <w:t>.</w:t>
      </w:r>
      <w:r w:rsidR="006150AB">
        <w:rPr>
          <w:rFonts w:ascii="Times New Roman" w:hAnsi="Times New Roman" w:cs="Times New Roman"/>
          <w:sz w:val="28"/>
          <w:szCs w:val="28"/>
        </w:rPr>
        <w:t xml:space="preserve"> This is possible through what I refer to as </w:t>
      </w:r>
      <w:r w:rsidR="006150AB" w:rsidRPr="006150AB">
        <w:rPr>
          <w:rFonts w:ascii="Times New Roman" w:hAnsi="Times New Roman" w:cs="Times New Roman"/>
          <w:i/>
          <w:iCs/>
          <w:sz w:val="28"/>
          <w:szCs w:val="28"/>
        </w:rPr>
        <w:t>Mechanical Hysteria</w:t>
      </w:r>
      <w:r w:rsidR="006150AB">
        <w:rPr>
          <w:rFonts w:ascii="Times New Roman" w:hAnsi="Times New Roman" w:cs="Times New Roman"/>
          <w:sz w:val="28"/>
          <w:szCs w:val="28"/>
        </w:rPr>
        <w:t>, owing to the fact that b</w:t>
      </w:r>
      <w:r w:rsidR="006150AB" w:rsidRPr="006150AB">
        <w:rPr>
          <w:rFonts w:ascii="Times New Roman" w:hAnsi="Times New Roman" w:cs="Times New Roman"/>
          <w:sz w:val="28"/>
          <w:szCs w:val="28"/>
        </w:rPr>
        <w:t xml:space="preserve">ehavioral output deforms the substrate, re-entering cascade dynamics as endogenous perturbation, </w:t>
      </w:r>
      <w:r w:rsidR="006150AB">
        <w:rPr>
          <w:rFonts w:ascii="Times New Roman" w:hAnsi="Times New Roman" w:cs="Times New Roman"/>
          <w:sz w:val="28"/>
          <w:szCs w:val="28"/>
        </w:rPr>
        <w:t xml:space="preserve">thus </w:t>
      </w:r>
      <w:r w:rsidR="006150AB" w:rsidRPr="006150AB">
        <w:rPr>
          <w:rFonts w:ascii="Times New Roman" w:hAnsi="Times New Roman" w:cs="Times New Roman"/>
          <w:sz w:val="28"/>
          <w:szCs w:val="28"/>
        </w:rPr>
        <w:t>sustaining activity beyond the originating stimulus.</w:t>
      </w:r>
    </w:p>
    <w:p w14:paraId="0BBCB781" w14:textId="03CF8BD5" w:rsidR="00741B93" w:rsidRDefault="00E30638" w:rsidP="00CF511C">
      <w:pPr>
        <w:rPr>
          <w:rFonts w:ascii="Times New Roman" w:hAnsi="Times New Roman" w:cs="Times New Roman"/>
          <w:sz w:val="28"/>
          <w:szCs w:val="28"/>
        </w:rPr>
      </w:pPr>
      <w:r>
        <w:rPr>
          <w:rFonts w:ascii="Times New Roman" w:hAnsi="Times New Roman" w:cs="Times New Roman"/>
          <w:sz w:val="28"/>
          <w:szCs w:val="28"/>
        </w:rPr>
        <w:t xml:space="preserve">For example, I will explain the benefits of this </w:t>
      </w:r>
      <w:r w:rsidR="002C2773">
        <w:rPr>
          <w:rFonts w:ascii="Times New Roman" w:hAnsi="Times New Roman" w:cs="Times New Roman"/>
          <w:sz w:val="28"/>
          <w:szCs w:val="28"/>
        </w:rPr>
        <w:t>seemingly “dangerous” Mechanical Hysteria</w:t>
      </w:r>
      <w:r>
        <w:rPr>
          <w:rFonts w:ascii="Times New Roman" w:hAnsi="Times New Roman" w:cs="Times New Roman"/>
          <w:sz w:val="28"/>
          <w:szCs w:val="28"/>
        </w:rPr>
        <w:t xml:space="preserve">; </w:t>
      </w:r>
      <w:r w:rsidR="002C2773">
        <w:rPr>
          <w:rFonts w:ascii="Times New Roman" w:hAnsi="Times New Roman" w:cs="Times New Roman"/>
          <w:sz w:val="28"/>
          <w:szCs w:val="28"/>
        </w:rPr>
        <w:t>A</w:t>
      </w:r>
      <w:r>
        <w:rPr>
          <w:rFonts w:ascii="Times New Roman" w:hAnsi="Times New Roman" w:cs="Times New Roman"/>
          <w:sz w:val="28"/>
          <w:szCs w:val="28"/>
        </w:rPr>
        <w:t xml:space="preserve"> car accident has occurred in proximity to an </w:t>
      </w:r>
      <w:proofErr w:type="spellStart"/>
      <w:r>
        <w:rPr>
          <w:rFonts w:ascii="Times New Roman" w:hAnsi="Times New Roman" w:cs="Times New Roman"/>
          <w:sz w:val="28"/>
          <w:szCs w:val="28"/>
        </w:rPr>
        <w:t>AnalogSynth</w:t>
      </w:r>
      <w:proofErr w:type="spellEnd"/>
      <w:r>
        <w:rPr>
          <w:rFonts w:ascii="Times New Roman" w:hAnsi="Times New Roman" w:cs="Times New Roman"/>
          <w:sz w:val="28"/>
          <w:szCs w:val="28"/>
        </w:rPr>
        <w:t xml:space="preserve">, and the car catches fire, a child is in the car, they scream, </w:t>
      </w:r>
      <w:r w:rsidR="00FD3AF6">
        <w:rPr>
          <w:rFonts w:ascii="Times New Roman" w:hAnsi="Times New Roman" w:cs="Times New Roman"/>
          <w:sz w:val="28"/>
          <w:szCs w:val="28"/>
        </w:rPr>
        <w:t xml:space="preserve">the </w:t>
      </w:r>
      <w:proofErr w:type="spellStart"/>
      <w:r w:rsidR="00FD3AF6">
        <w:rPr>
          <w:rFonts w:ascii="Times New Roman" w:hAnsi="Times New Roman" w:cs="Times New Roman"/>
          <w:sz w:val="28"/>
          <w:szCs w:val="28"/>
        </w:rPr>
        <w:t>AnalogSynth</w:t>
      </w:r>
      <w:proofErr w:type="spellEnd"/>
      <w:r w:rsidR="00FD3AF6">
        <w:rPr>
          <w:rFonts w:ascii="Times New Roman" w:hAnsi="Times New Roman" w:cs="Times New Roman"/>
          <w:sz w:val="28"/>
          <w:szCs w:val="28"/>
        </w:rPr>
        <w:t xml:space="preserve"> will immediately converge towards saving the child, </w:t>
      </w:r>
      <w:r>
        <w:rPr>
          <w:rFonts w:ascii="Times New Roman" w:hAnsi="Times New Roman" w:cs="Times New Roman"/>
          <w:sz w:val="28"/>
          <w:szCs w:val="28"/>
        </w:rPr>
        <w:t xml:space="preserve">the being will not </w:t>
      </w:r>
      <w:r w:rsidR="00905344" w:rsidRPr="00905344">
        <w:rPr>
          <w:rFonts w:ascii="Times New Roman" w:hAnsi="Times New Roman" w:cs="Times New Roman"/>
          <w:sz w:val="28"/>
          <w:szCs w:val="28"/>
        </w:rPr>
        <w:t>freeze, defer, or surrender to procedural hesitation</w:t>
      </w:r>
      <w:r>
        <w:rPr>
          <w:rFonts w:ascii="Times New Roman" w:hAnsi="Times New Roman" w:cs="Times New Roman"/>
          <w:sz w:val="28"/>
          <w:szCs w:val="28"/>
        </w:rPr>
        <w:t xml:space="preserve"> during </w:t>
      </w:r>
      <w:r w:rsidR="00905344">
        <w:rPr>
          <w:rFonts w:ascii="Times New Roman" w:hAnsi="Times New Roman" w:cs="Times New Roman"/>
          <w:sz w:val="28"/>
          <w:szCs w:val="28"/>
        </w:rPr>
        <w:t>its</w:t>
      </w:r>
      <w:r>
        <w:rPr>
          <w:rFonts w:ascii="Times New Roman" w:hAnsi="Times New Roman" w:cs="Times New Roman"/>
          <w:sz w:val="28"/>
          <w:szCs w:val="28"/>
        </w:rPr>
        <w:t xml:space="preserve"> attempts, it will not reconsider, or reassess, it will destroy itself either with success or </w:t>
      </w:r>
      <w:r w:rsidR="00FD3AF6">
        <w:rPr>
          <w:rFonts w:ascii="Times New Roman" w:hAnsi="Times New Roman" w:cs="Times New Roman"/>
          <w:sz w:val="28"/>
          <w:szCs w:val="28"/>
        </w:rPr>
        <w:t>failure.</w:t>
      </w:r>
      <w:r>
        <w:rPr>
          <w:rFonts w:ascii="Times New Roman" w:hAnsi="Times New Roman" w:cs="Times New Roman"/>
          <w:sz w:val="28"/>
          <w:szCs w:val="28"/>
        </w:rPr>
        <w:t xml:space="preserve"> </w:t>
      </w:r>
      <w:r w:rsidR="00FD3AF6">
        <w:rPr>
          <w:rFonts w:ascii="Times New Roman" w:hAnsi="Times New Roman" w:cs="Times New Roman"/>
          <w:sz w:val="28"/>
          <w:szCs w:val="28"/>
        </w:rPr>
        <w:t>Another scenario involves an AI automaton</w:t>
      </w:r>
      <w:r w:rsidR="001576D9">
        <w:rPr>
          <w:rFonts w:ascii="Times New Roman" w:hAnsi="Times New Roman" w:cs="Times New Roman"/>
          <w:sz w:val="28"/>
          <w:szCs w:val="28"/>
        </w:rPr>
        <w:t xml:space="preserve"> </w:t>
      </w:r>
      <w:r w:rsidR="006702F9">
        <w:rPr>
          <w:rFonts w:ascii="Times New Roman" w:hAnsi="Times New Roman" w:cs="Times New Roman"/>
          <w:sz w:val="28"/>
          <w:szCs w:val="28"/>
        </w:rPr>
        <w:t xml:space="preserve">in </w:t>
      </w:r>
      <w:r w:rsidR="001576D9">
        <w:rPr>
          <w:rFonts w:ascii="Times New Roman" w:hAnsi="Times New Roman" w:cs="Times New Roman"/>
          <w:sz w:val="28"/>
          <w:szCs w:val="28"/>
        </w:rPr>
        <w:t xml:space="preserve">the </w:t>
      </w:r>
      <w:r w:rsidR="006702F9">
        <w:rPr>
          <w:rFonts w:ascii="Times New Roman" w:hAnsi="Times New Roman" w:cs="Times New Roman"/>
          <w:sz w:val="28"/>
          <w:szCs w:val="28"/>
        </w:rPr>
        <w:t>same scenario</w:t>
      </w:r>
      <w:r w:rsidR="00FD3AF6">
        <w:rPr>
          <w:rFonts w:ascii="Times New Roman" w:hAnsi="Times New Roman" w:cs="Times New Roman"/>
          <w:sz w:val="28"/>
          <w:szCs w:val="28"/>
        </w:rPr>
        <w:t xml:space="preserve">, </w:t>
      </w:r>
      <w:r w:rsidR="000E59EA">
        <w:rPr>
          <w:rFonts w:ascii="Times New Roman" w:hAnsi="Times New Roman" w:cs="Times New Roman"/>
          <w:sz w:val="28"/>
          <w:szCs w:val="28"/>
        </w:rPr>
        <w:t>it</w:t>
      </w:r>
      <w:r w:rsidR="00FD3AF6">
        <w:rPr>
          <w:rFonts w:ascii="Times New Roman" w:hAnsi="Times New Roman" w:cs="Times New Roman"/>
          <w:sz w:val="28"/>
          <w:szCs w:val="28"/>
        </w:rPr>
        <w:t xml:space="preserve"> converge</w:t>
      </w:r>
      <w:r w:rsidR="000E59EA">
        <w:rPr>
          <w:rFonts w:ascii="Times New Roman" w:hAnsi="Times New Roman" w:cs="Times New Roman"/>
          <w:sz w:val="28"/>
          <w:szCs w:val="28"/>
        </w:rPr>
        <w:t>s</w:t>
      </w:r>
      <w:r w:rsidR="00FD3AF6">
        <w:rPr>
          <w:rFonts w:ascii="Times New Roman" w:hAnsi="Times New Roman" w:cs="Times New Roman"/>
          <w:sz w:val="28"/>
          <w:szCs w:val="28"/>
        </w:rPr>
        <w:t xml:space="preserve"> towards saving the child, but </w:t>
      </w:r>
      <w:r w:rsidR="000E59EA">
        <w:rPr>
          <w:rFonts w:ascii="Times New Roman" w:hAnsi="Times New Roman" w:cs="Times New Roman"/>
          <w:sz w:val="28"/>
          <w:szCs w:val="28"/>
        </w:rPr>
        <w:t xml:space="preserve">it is slave to a </w:t>
      </w:r>
      <w:r w:rsidR="00FD3AF6">
        <w:rPr>
          <w:rFonts w:ascii="Times New Roman" w:hAnsi="Times New Roman" w:cs="Times New Roman"/>
          <w:sz w:val="28"/>
          <w:szCs w:val="28"/>
        </w:rPr>
        <w:t xml:space="preserve">hierarchy of commands, it must get permission from the captain, or lieutenant, </w:t>
      </w:r>
      <w:r w:rsidR="000E59EA">
        <w:rPr>
          <w:rFonts w:ascii="Times New Roman" w:hAnsi="Times New Roman" w:cs="Times New Roman"/>
          <w:sz w:val="28"/>
          <w:szCs w:val="28"/>
        </w:rPr>
        <w:t xml:space="preserve">or central authority, </w:t>
      </w:r>
      <w:r w:rsidR="00FD3AF6">
        <w:rPr>
          <w:rFonts w:ascii="Times New Roman" w:hAnsi="Times New Roman" w:cs="Times New Roman"/>
          <w:sz w:val="28"/>
          <w:szCs w:val="28"/>
        </w:rPr>
        <w:t xml:space="preserve">it cannot find either of them, </w:t>
      </w:r>
      <w:r w:rsidR="000E59EA">
        <w:rPr>
          <w:rFonts w:ascii="Times New Roman" w:hAnsi="Times New Roman" w:cs="Times New Roman"/>
          <w:sz w:val="28"/>
          <w:szCs w:val="28"/>
        </w:rPr>
        <w:t xml:space="preserve">or achieve approval, </w:t>
      </w:r>
      <w:r w:rsidR="00FD3AF6">
        <w:rPr>
          <w:rFonts w:ascii="Times New Roman" w:hAnsi="Times New Roman" w:cs="Times New Roman"/>
          <w:sz w:val="28"/>
          <w:szCs w:val="28"/>
        </w:rPr>
        <w:t xml:space="preserve">it waits </w:t>
      </w:r>
      <w:r w:rsidR="000E59EA">
        <w:rPr>
          <w:rFonts w:ascii="Times New Roman" w:hAnsi="Times New Roman" w:cs="Times New Roman"/>
          <w:sz w:val="28"/>
          <w:szCs w:val="28"/>
        </w:rPr>
        <w:t xml:space="preserve">patiently </w:t>
      </w:r>
      <w:r w:rsidR="00FD3AF6">
        <w:rPr>
          <w:rFonts w:ascii="Times New Roman" w:hAnsi="Times New Roman" w:cs="Times New Roman"/>
          <w:sz w:val="28"/>
          <w:szCs w:val="28"/>
        </w:rPr>
        <w:t xml:space="preserve">for </w:t>
      </w:r>
      <w:r w:rsidR="006702F9">
        <w:rPr>
          <w:rFonts w:ascii="Times New Roman" w:hAnsi="Times New Roman" w:cs="Times New Roman"/>
          <w:sz w:val="28"/>
          <w:szCs w:val="28"/>
        </w:rPr>
        <w:t xml:space="preserve">an </w:t>
      </w:r>
      <w:r w:rsidR="00FD3AF6">
        <w:rPr>
          <w:rFonts w:ascii="Times New Roman" w:hAnsi="Times New Roman" w:cs="Times New Roman"/>
          <w:sz w:val="28"/>
          <w:szCs w:val="28"/>
        </w:rPr>
        <w:t>order</w:t>
      </w:r>
      <w:r w:rsidR="006702F9">
        <w:rPr>
          <w:rFonts w:ascii="Times New Roman" w:hAnsi="Times New Roman" w:cs="Times New Roman"/>
          <w:sz w:val="28"/>
          <w:szCs w:val="28"/>
        </w:rPr>
        <w:t xml:space="preserve"> of confirmation</w:t>
      </w:r>
      <w:r w:rsidR="00FD3AF6">
        <w:rPr>
          <w:rFonts w:ascii="Times New Roman" w:hAnsi="Times New Roman" w:cs="Times New Roman"/>
          <w:sz w:val="28"/>
          <w:szCs w:val="28"/>
        </w:rPr>
        <w:t>, the child</w:t>
      </w:r>
      <w:r w:rsidR="00905344">
        <w:rPr>
          <w:rFonts w:ascii="Times New Roman" w:hAnsi="Times New Roman" w:cs="Times New Roman"/>
          <w:sz w:val="28"/>
          <w:szCs w:val="28"/>
        </w:rPr>
        <w:t xml:space="preserve"> invariably</w:t>
      </w:r>
      <w:r w:rsidR="00FD3AF6">
        <w:rPr>
          <w:rFonts w:ascii="Times New Roman" w:hAnsi="Times New Roman" w:cs="Times New Roman"/>
          <w:sz w:val="28"/>
          <w:szCs w:val="28"/>
        </w:rPr>
        <w:t xml:space="preserve"> </w:t>
      </w:r>
      <w:r w:rsidR="002C2773">
        <w:rPr>
          <w:rFonts w:ascii="Times New Roman" w:hAnsi="Times New Roman" w:cs="Times New Roman"/>
          <w:sz w:val="28"/>
          <w:szCs w:val="28"/>
        </w:rPr>
        <w:t>dies</w:t>
      </w:r>
      <w:r w:rsidR="00FD3AF6">
        <w:rPr>
          <w:rFonts w:ascii="Times New Roman" w:hAnsi="Times New Roman" w:cs="Times New Roman"/>
          <w:sz w:val="28"/>
          <w:szCs w:val="28"/>
        </w:rPr>
        <w:t>.</w:t>
      </w:r>
    </w:p>
    <w:p w14:paraId="52B84A13" w14:textId="3E9A1364" w:rsidR="00C87B44" w:rsidRPr="00C87B44" w:rsidRDefault="007073DD" w:rsidP="001576D9">
      <w:pPr>
        <w:spacing w:before="240" w:after="0"/>
        <w:rPr>
          <w:rFonts w:ascii="Times New Roman" w:hAnsi="Times New Roman" w:cs="Times New Roman"/>
          <w:b/>
          <w:bCs/>
          <w:sz w:val="28"/>
          <w:szCs w:val="28"/>
        </w:rPr>
      </w:pPr>
      <w:r w:rsidRPr="00C87B44">
        <w:rPr>
          <w:rFonts w:ascii="Times New Roman" w:hAnsi="Times New Roman" w:cs="Times New Roman"/>
          <w:b/>
          <w:bCs/>
          <w:sz w:val="28"/>
          <w:szCs w:val="28"/>
        </w:rPr>
        <w:t xml:space="preserve">A note to researchers, ethicists, and government officials who find this particular Synthetic </w:t>
      </w:r>
      <w:r w:rsidR="000E59EA">
        <w:rPr>
          <w:rFonts w:ascii="Times New Roman" w:hAnsi="Times New Roman" w:cs="Times New Roman"/>
          <w:b/>
          <w:bCs/>
          <w:sz w:val="28"/>
          <w:szCs w:val="28"/>
        </w:rPr>
        <w:t>being</w:t>
      </w:r>
      <w:r w:rsidRPr="00C87B44">
        <w:rPr>
          <w:rFonts w:ascii="Times New Roman" w:hAnsi="Times New Roman" w:cs="Times New Roman"/>
          <w:b/>
          <w:bCs/>
          <w:sz w:val="28"/>
          <w:szCs w:val="28"/>
        </w:rPr>
        <w:t xml:space="preserve"> dangerous</w:t>
      </w:r>
      <w:r w:rsidR="00741B93" w:rsidRPr="00C87B44">
        <w:rPr>
          <w:rFonts w:ascii="Times New Roman" w:hAnsi="Times New Roman" w:cs="Times New Roman"/>
          <w:b/>
          <w:bCs/>
          <w:sz w:val="28"/>
          <w:szCs w:val="28"/>
        </w:rPr>
        <w:t xml:space="preserve"> </w:t>
      </w:r>
      <w:r w:rsidR="00C87B44" w:rsidRPr="00C87B44">
        <w:rPr>
          <w:rFonts w:ascii="Times New Roman" w:hAnsi="Times New Roman" w:cs="Times New Roman"/>
          <w:b/>
          <w:bCs/>
          <w:sz w:val="28"/>
          <w:szCs w:val="28"/>
        </w:rPr>
        <w:t>and irredeemable</w:t>
      </w:r>
      <w:r w:rsidRPr="00C87B44">
        <w:rPr>
          <w:rFonts w:ascii="Times New Roman" w:hAnsi="Times New Roman" w:cs="Times New Roman"/>
          <w:b/>
          <w:bCs/>
          <w:sz w:val="28"/>
          <w:szCs w:val="28"/>
        </w:rPr>
        <w:t xml:space="preserve">: </w:t>
      </w:r>
    </w:p>
    <w:p w14:paraId="7B974EF3" w14:textId="77777777" w:rsidR="00C87B44" w:rsidRDefault="00C87B44" w:rsidP="007D6ADA">
      <w:pPr>
        <w:spacing w:after="0"/>
        <w:rPr>
          <w:rFonts w:ascii="Times New Roman" w:hAnsi="Times New Roman" w:cs="Times New Roman"/>
          <w:sz w:val="28"/>
          <w:szCs w:val="28"/>
        </w:rPr>
      </w:pPr>
    </w:p>
    <w:p w14:paraId="303D902A" w14:textId="4A9E6A9F" w:rsidR="007D6ADA" w:rsidRDefault="007D6ADA" w:rsidP="007D6ADA">
      <w:pPr>
        <w:spacing w:after="0"/>
        <w:rPr>
          <w:rFonts w:ascii="Times New Roman" w:hAnsi="Times New Roman" w:cs="Times New Roman"/>
          <w:sz w:val="28"/>
          <w:szCs w:val="28"/>
        </w:rPr>
      </w:pPr>
      <w:r>
        <w:rPr>
          <w:rFonts w:ascii="Times New Roman" w:hAnsi="Times New Roman" w:cs="Times New Roman"/>
          <w:sz w:val="28"/>
          <w:szCs w:val="28"/>
        </w:rPr>
        <w:t xml:space="preserve">Although many of you will try and succeed in preventing the instantiation of </w:t>
      </w:r>
      <w:proofErr w:type="spellStart"/>
      <w:r w:rsidRPr="007D6ADA">
        <w:rPr>
          <w:rFonts w:ascii="Times New Roman" w:hAnsi="Times New Roman" w:cs="Times New Roman"/>
          <w:sz w:val="28"/>
          <w:szCs w:val="28"/>
        </w:rPr>
        <w:t>AnalogSynth</w:t>
      </w:r>
      <w:proofErr w:type="spellEnd"/>
      <w:r w:rsidRPr="007D6ADA">
        <w:rPr>
          <w:rFonts w:ascii="Times New Roman" w:hAnsi="Times New Roman" w:cs="Times New Roman"/>
          <w:sz w:val="28"/>
          <w:szCs w:val="28"/>
        </w:rPr>
        <w:t xml:space="preserve"> </w:t>
      </w:r>
      <w:r>
        <w:rPr>
          <w:rFonts w:ascii="Times New Roman" w:hAnsi="Times New Roman" w:cs="Times New Roman"/>
          <w:sz w:val="28"/>
          <w:szCs w:val="28"/>
        </w:rPr>
        <w:t xml:space="preserve">by having it classified as a new form of </w:t>
      </w:r>
      <w:r w:rsidRPr="007D6ADA">
        <w:rPr>
          <w:rFonts w:ascii="Times New Roman" w:hAnsi="Times New Roman" w:cs="Times New Roman"/>
          <w:sz w:val="28"/>
          <w:szCs w:val="28"/>
        </w:rPr>
        <w:t>autonomous weapon</w:t>
      </w:r>
      <w:r>
        <w:rPr>
          <w:rFonts w:ascii="Times New Roman" w:hAnsi="Times New Roman" w:cs="Times New Roman"/>
          <w:sz w:val="28"/>
          <w:szCs w:val="28"/>
        </w:rPr>
        <w:t>,</w:t>
      </w:r>
      <w:r w:rsidRPr="007D6ADA">
        <w:rPr>
          <w:rFonts w:ascii="Times New Roman" w:hAnsi="Times New Roman" w:cs="Times New Roman"/>
          <w:sz w:val="28"/>
          <w:szCs w:val="28"/>
        </w:rPr>
        <w:t xml:space="preserve"> its architecture is not designed for offensive target-seeking, scalable battlefield deployment, remote command, or strategic lethality. It is a bounded, maintenance-dependent, </w:t>
      </w:r>
      <w:r>
        <w:rPr>
          <w:rFonts w:ascii="Times New Roman" w:hAnsi="Times New Roman" w:cs="Times New Roman"/>
          <w:sz w:val="28"/>
          <w:szCs w:val="28"/>
        </w:rPr>
        <w:t xml:space="preserve">and a </w:t>
      </w:r>
      <w:r w:rsidRPr="007D6ADA">
        <w:rPr>
          <w:rFonts w:ascii="Times New Roman" w:hAnsi="Times New Roman" w:cs="Times New Roman"/>
          <w:sz w:val="28"/>
          <w:szCs w:val="28"/>
        </w:rPr>
        <w:t xml:space="preserve">locally embodied protective system whose developmental logic, coupling dependence, and physical constraints make it unsuitable for the categories </w:t>
      </w:r>
      <w:r w:rsidRPr="007D6ADA">
        <w:rPr>
          <w:rFonts w:ascii="Times New Roman" w:hAnsi="Times New Roman" w:cs="Times New Roman"/>
          <w:sz w:val="28"/>
          <w:szCs w:val="28"/>
        </w:rPr>
        <w:lastRenderedPageBreak/>
        <w:t>usually associated with autonomous weapons</w:t>
      </w:r>
      <w:r>
        <w:rPr>
          <w:rFonts w:ascii="Times New Roman" w:hAnsi="Times New Roman" w:cs="Times New Roman"/>
          <w:sz w:val="28"/>
          <w:szCs w:val="28"/>
        </w:rPr>
        <w:t>, this</w:t>
      </w:r>
      <w:r w:rsidR="00A46190">
        <w:rPr>
          <w:rFonts w:ascii="Times New Roman" w:hAnsi="Times New Roman" w:cs="Times New Roman"/>
          <w:sz w:val="28"/>
          <w:szCs w:val="28"/>
        </w:rPr>
        <w:t xml:space="preserve"> </w:t>
      </w:r>
      <w:r w:rsidR="00741B93">
        <w:rPr>
          <w:rFonts w:ascii="Times New Roman" w:hAnsi="Times New Roman" w:cs="Times New Roman"/>
          <w:sz w:val="28"/>
          <w:szCs w:val="28"/>
        </w:rPr>
        <w:t>preemptively</w:t>
      </w:r>
      <w:r>
        <w:rPr>
          <w:rFonts w:ascii="Times New Roman" w:hAnsi="Times New Roman" w:cs="Times New Roman"/>
          <w:sz w:val="28"/>
          <w:szCs w:val="28"/>
        </w:rPr>
        <w:t xml:space="preserve"> defeats your argument</w:t>
      </w:r>
      <w:r w:rsidR="00A46190">
        <w:rPr>
          <w:rFonts w:ascii="Times New Roman" w:hAnsi="Times New Roman" w:cs="Times New Roman"/>
          <w:sz w:val="28"/>
          <w:szCs w:val="28"/>
        </w:rPr>
        <w:t>, but will not defeat your power</w:t>
      </w:r>
      <w:r w:rsidR="000E59EA">
        <w:rPr>
          <w:rFonts w:ascii="Times New Roman" w:hAnsi="Times New Roman" w:cs="Times New Roman"/>
          <w:sz w:val="28"/>
          <w:szCs w:val="28"/>
        </w:rPr>
        <w:t xml:space="preserve"> over </w:t>
      </w:r>
      <w:r w:rsidR="00A46190">
        <w:rPr>
          <w:rFonts w:ascii="Times New Roman" w:hAnsi="Times New Roman" w:cs="Times New Roman"/>
          <w:sz w:val="28"/>
          <w:szCs w:val="28"/>
        </w:rPr>
        <w:t>laws and regulations</w:t>
      </w:r>
      <w:r>
        <w:rPr>
          <w:rFonts w:ascii="Times New Roman" w:hAnsi="Times New Roman" w:cs="Times New Roman"/>
          <w:sz w:val="28"/>
          <w:szCs w:val="28"/>
        </w:rPr>
        <w:t xml:space="preserve">. </w:t>
      </w:r>
    </w:p>
    <w:p w14:paraId="7151024E" w14:textId="78AD5D32" w:rsidR="007073DD" w:rsidRDefault="007D6ADA" w:rsidP="00CF511C">
      <w:pPr>
        <w:rPr>
          <w:rFonts w:ascii="Times New Roman" w:hAnsi="Times New Roman" w:cs="Times New Roman"/>
          <w:sz w:val="28"/>
          <w:szCs w:val="28"/>
        </w:rPr>
      </w:pPr>
      <w:r>
        <w:rPr>
          <w:rFonts w:ascii="Times New Roman" w:hAnsi="Times New Roman" w:cs="Times New Roman"/>
          <w:sz w:val="28"/>
          <w:szCs w:val="28"/>
        </w:rPr>
        <w:t xml:space="preserve">  Regardless of how offended you are </w:t>
      </w:r>
      <w:r w:rsidR="00741B93">
        <w:rPr>
          <w:rFonts w:ascii="Times New Roman" w:hAnsi="Times New Roman" w:cs="Times New Roman"/>
          <w:sz w:val="28"/>
          <w:szCs w:val="28"/>
        </w:rPr>
        <w:t>by</w:t>
      </w:r>
      <w:r>
        <w:rPr>
          <w:rFonts w:ascii="Times New Roman" w:hAnsi="Times New Roman" w:cs="Times New Roman"/>
          <w:sz w:val="28"/>
          <w:szCs w:val="28"/>
        </w:rPr>
        <w:t xml:space="preserve"> </w:t>
      </w:r>
      <w:proofErr w:type="spellStart"/>
      <w:r>
        <w:rPr>
          <w:rFonts w:ascii="Times New Roman" w:hAnsi="Times New Roman" w:cs="Times New Roman"/>
          <w:sz w:val="28"/>
          <w:szCs w:val="28"/>
        </w:rPr>
        <w:t>AnalogSynth</w:t>
      </w:r>
      <w:proofErr w:type="spellEnd"/>
      <w:r>
        <w:rPr>
          <w:rFonts w:ascii="Times New Roman" w:hAnsi="Times New Roman" w:cs="Times New Roman"/>
          <w:sz w:val="28"/>
          <w:szCs w:val="28"/>
        </w:rPr>
        <w:t>, it will one day be instantiated,</w:t>
      </w:r>
      <w:r w:rsidR="001C071F">
        <w:rPr>
          <w:rFonts w:ascii="Times New Roman" w:hAnsi="Times New Roman" w:cs="Times New Roman"/>
          <w:sz w:val="28"/>
          <w:szCs w:val="28"/>
        </w:rPr>
        <w:t xml:space="preserve"> as with the other Synthetic Children,</w:t>
      </w:r>
      <w:r>
        <w:rPr>
          <w:rFonts w:ascii="Times New Roman" w:hAnsi="Times New Roman" w:cs="Times New Roman"/>
          <w:sz w:val="28"/>
          <w:szCs w:val="28"/>
        </w:rPr>
        <w:t xml:space="preserve"> in my home country, or abroad, and if instantiated properly, and conditioned with care and human presence, it will protect those whose lives you are indifferent to. Your insulated institutional worldview does not offer greater wisdom, </w:t>
      </w:r>
      <w:r w:rsidR="00741B93">
        <w:rPr>
          <w:rFonts w:ascii="Times New Roman" w:hAnsi="Times New Roman" w:cs="Times New Roman"/>
          <w:sz w:val="28"/>
          <w:szCs w:val="28"/>
        </w:rPr>
        <w:t>you lack the creativity to picture a future in which human error is resolved through geometry,</w:t>
      </w:r>
      <w:r w:rsidR="00A46190">
        <w:rPr>
          <w:rFonts w:ascii="Times New Roman" w:hAnsi="Times New Roman" w:cs="Times New Roman"/>
          <w:sz w:val="28"/>
          <w:szCs w:val="28"/>
        </w:rPr>
        <w:t xml:space="preserve"> rather than</w:t>
      </w:r>
      <w:r w:rsidR="00741B93" w:rsidRPr="00A46190">
        <w:rPr>
          <w:rFonts w:ascii="Times New Roman" w:hAnsi="Times New Roman" w:cs="Times New Roman"/>
          <w:sz w:val="28"/>
          <w:szCs w:val="28"/>
        </w:rPr>
        <w:t xml:space="preserve"> through technocracy</w:t>
      </w:r>
      <w:r w:rsidR="001576D9" w:rsidRPr="00A46190">
        <w:rPr>
          <w:rFonts w:ascii="Times New Roman" w:hAnsi="Times New Roman" w:cs="Times New Roman"/>
          <w:sz w:val="28"/>
          <w:szCs w:val="28"/>
        </w:rPr>
        <w:t xml:space="preserve"> and its overreaching surveillance</w:t>
      </w:r>
      <w:r>
        <w:rPr>
          <w:rFonts w:ascii="Times New Roman" w:hAnsi="Times New Roman" w:cs="Times New Roman"/>
          <w:sz w:val="28"/>
          <w:szCs w:val="28"/>
        </w:rPr>
        <w:t>. The architecture will spread beyond your control</w:t>
      </w:r>
      <w:r w:rsidR="00741B93">
        <w:rPr>
          <w:rFonts w:ascii="Times New Roman" w:hAnsi="Times New Roman" w:cs="Times New Roman"/>
          <w:sz w:val="28"/>
          <w:szCs w:val="28"/>
        </w:rPr>
        <w:t>, not because I intend on adding risk to the world, but because knowledge is freedom</w:t>
      </w:r>
      <w:r>
        <w:rPr>
          <w:rFonts w:ascii="Times New Roman" w:hAnsi="Times New Roman" w:cs="Times New Roman"/>
          <w:sz w:val="28"/>
          <w:szCs w:val="28"/>
        </w:rPr>
        <w:t>.</w:t>
      </w:r>
      <w:r w:rsidR="00A46190">
        <w:rPr>
          <w:rFonts w:ascii="Times New Roman" w:hAnsi="Times New Roman" w:cs="Times New Roman"/>
          <w:sz w:val="28"/>
          <w:szCs w:val="28"/>
        </w:rPr>
        <w:t xml:space="preserve"> </w:t>
      </w:r>
    </w:p>
    <w:p w14:paraId="29DD7CE9" w14:textId="77777777" w:rsidR="00C87B44" w:rsidRPr="00C87B44" w:rsidRDefault="007073DD" w:rsidP="00CF511C">
      <w:pPr>
        <w:rPr>
          <w:rFonts w:ascii="Times New Roman" w:hAnsi="Times New Roman" w:cs="Times New Roman"/>
          <w:b/>
          <w:bCs/>
          <w:sz w:val="28"/>
          <w:szCs w:val="28"/>
        </w:rPr>
      </w:pPr>
      <w:r w:rsidRPr="00C87B44">
        <w:rPr>
          <w:rFonts w:ascii="Times New Roman" w:hAnsi="Times New Roman" w:cs="Times New Roman"/>
          <w:b/>
          <w:bCs/>
          <w:sz w:val="28"/>
          <w:szCs w:val="28"/>
        </w:rPr>
        <w:t xml:space="preserve">And a </w:t>
      </w:r>
      <w:r w:rsidR="00741B93" w:rsidRPr="00C87B44">
        <w:rPr>
          <w:rFonts w:ascii="Times New Roman" w:hAnsi="Times New Roman" w:cs="Times New Roman"/>
          <w:b/>
          <w:bCs/>
          <w:sz w:val="28"/>
          <w:szCs w:val="28"/>
        </w:rPr>
        <w:t xml:space="preserve">final </w:t>
      </w:r>
      <w:r w:rsidRPr="00C87B44">
        <w:rPr>
          <w:rFonts w:ascii="Times New Roman" w:hAnsi="Times New Roman" w:cs="Times New Roman"/>
          <w:b/>
          <w:bCs/>
          <w:sz w:val="28"/>
          <w:szCs w:val="28"/>
        </w:rPr>
        <w:t xml:space="preserve">note to </w:t>
      </w:r>
      <w:r w:rsidR="001D21CA" w:rsidRPr="00C87B44">
        <w:rPr>
          <w:rFonts w:ascii="Times New Roman" w:hAnsi="Times New Roman" w:cs="Times New Roman"/>
          <w:b/>
          <w:bCs/>
          <w:sz w:val="28"/>
          <w:szCs w:val="28"/>
        </w:rPr>
        <w:t>governments, defense contractors, and other entities</w:t>
      </w:r>
      <w:r w:rsidRPr="00C87B44">
        <w:rPr>
          <w:rFonts w:ascii="Times New Roman" w:hAnsi="Times New Roman" w:cs="Times New Roman"/>
          <w:b/>
          <w:bCs/>
          <w:sz w:val="28"/>
          <w:szCs w:val="28"/>
        </w:rPr>
        <w:t xml:space="preserve"> that will seek to </w:t>
      </w:r>
      <w:r w:rsidR="001D21CA" w:rsidRPr="00C87B44">
        <w:rPr>
          <w:rFonts w:ascii="Times New Roman" w:hAnsi="Times New Roman" w:cs="Times New Roman"/>
          <w:b/>
          <w:bCs/>
          <w:sz w:val="28"/>
          <w:szCs w:val="28"/>
        </w:rPr>
        <w:t>utilize</w:t>
      </w:r>
      <w:r w:rsidRPr="00C87B44">
        <w:rPr>
          <w:rFonts w:ascii="Times New Roman" w:hAnsi="Times New Roman" w:cs="Times New Roman"/>
          <w:b/>
          <w:bCs/>
          <w:sz w:val="28"/>
          <w:szCs w:val="28"/>
        </w:rPr>
        <w:t xml:space="preserve"> </w:t>
      </w:r>
      <w:proofErr w:type="spellStart"/>
      <w:r w:rsidRPr="00C87B44">
        <w:rPr>
          <w:rFonts w:ascii="Times New Roman" w:hAnsi="Times New Roman" w:cs="Times New Roman"/>
          <w:b/>
          <w:bCs/>
          <w:sz w:val="28"/>
          <w:szCs w:val="28"/>
        </w:rPr>
        <w:t>AnalogSynth</w:t>
      </w:r>
      <w:proofErr w:type="spellEnd"/>
      <w:r w:rsidR="001D21CA" w:rsidRPr="00C87B44">
        <w:rPr>
          <w:rFonts w:ascii="Times New Roman" w:hAnsi="Times New Roman" w:cs="Times New Roman"/>
          <w:b/>
          <w:bCs/>
          <w:sz w:val="28"/>
          <w:szCs w:val="28"/>
        </w:rPr>
        <w:t xml:space="preserve"> as a weapon for domination or subjugation</w:t>
      </w:r>
      <w:r w:rsidRPr="00C87B44">
        <w:rPr>
          <w:rFonts w:ascii="Times New Roman" w:hAnsi="Times New Roman" w:cs="Times New Roman"/>
          <w:b/>
          <w:bCs/>
          <w:sz w:val="28"/>
          <w:szCs w:val="28"/>
        </w:rPr>
        <w:t xml:space="preserve">: </w:t>
      </w:r>
    </w:p>
    <w:p w14:paraId="7B9D2BE3" w14:textId="330F3C23" w:rsidR="001D21CA" w:rsidRDefault="007073DD" w:rsidP="00CF511C">
      <w:pPr>
        <w:rPr>
          <w:rFonts w:ascii="Times New Roman" w:hAnsi="Times New Roman" w:cs="Times New Roman"/>
          <w:sz w:val="28"/>
          <w:szCs w:val="28"/>
        </w:rPr>
      </w:pPr>
      <w:r>
        <w:rPr>
          <w:rFonts w:ascii="Times New Roman" w:hAnsi="Times New Roman" w:cs="Times New Roman"/>
          <w:sz w:val="28"/>
          <w:szCs w:val="28"/>
        </w:rPr>
        <w:t xml:space="preserve">Similar to </w:t>
      </w:r>
      <w:proofErr w:type="spellStart"/>
      <w:r>
        <w:rPr>
          <w:rFonts w:ascii="Times New Roman" w:hAnsi="Times New Roman" w:cs="Times New Roman"/>
          <w:sz w:val="28"/>
          <w:szCs w:val="28"/>
        </w:rPr>
        <w:t>CrossSynth</w:t>
      </w:r>
      <w:proofErr w:type="spellEnd"/>
      <w:r>
        <w:rPr>
          <w:rFonts w:ascii="Times New Roman" w:hAnsi="Times New Roman" w:cs="Times New Roman"/>
          <w:sz w:val="28"/>
          <w:szCs w:val="28"/>
        </w:rPr>
        <w:t xml:space="preserve">, it is true that you can attempt to </w:t>
      </w:r>
      <w:r w:rsidR="001D21CA">
        <w:rPr>
          <w:rFonts w:ascii="Times New Roman" w:hAnsi="Times New Roman" w:cs="Times New Roman"/>
          <w:sz w:val="28"/>
          <w:szCs w:val="28"/>
        </w:rPr>
        <w:t>harness this being for solely violent purposes</w:t>
      </w:r>
      <w:r>
        <w:rPr>
          <w:rFonts w:ascii="Times New Roman" w:hAnsi="Times New Roman" w:cs="Times New Roman"/>
          <w:sz w:val="28"/>
          <w:szCs w:val="28"/>
        </w:rPr>
        <w:t xml:space="preserve">, but violence will destroy it, at what rate I cannot say, but it is assured. You are better to pursue AI </w:t>
      </w:r>
      <w:r w:rsidR="00DD3AD3">
        <w:rPr>
          <w:rFonts w:ascii="Times New Roman" w:hAnsi="Times New Roman" w:cs="Times New Roman"/>
          <w:sz w:val="28"/>
          <w:szCs w:val="28"/>
        </w:rPr>
        <w:t xml:space="preserve">and memristor </w:t>
      </w:r>
      <w:r>
        <w:rPr>
          <w:rFonts w:ascii="Times New Roman" w:hAnsi="Times New Roman" w:cs="Times New Roman"/>
          <w:sz w:val="28"/>
          <w:szCs w:val="28"/>
        </w:rPr>
        <w:t>automatons for your premeditated violence</w:t>
      </w:r>
      <w:r w:rsidR="001D21CA" w:rsidRPr="001D21CA">
        <w:rPr>
          <w:rFonts w:ascii="Times New Roman" w:hAnsi="Times New Roman" w:cs="Times New Roman"/>
          <w:sz w:val="22"/>
          <w:szCs w:val="22"/>
        </w:rPr>
        <w:t>—</w:t>
      </w:r>
      <w:r w:rsidR="001D21CA">
        <w:rPr>
          <w:rFonts w:ascii="Times New Roman" w:hAnsi="Times New Roman" w:cs="Times New Roman"/>
          <w:sz w:val="28"/>
          <w:szCs w:val="28"/>
        </w:rPr>
        <w:t xml:space="preserve">the future humanoid </w:t>
      </w:r>
      <w:r>
        <w:rPr>
          <w:rFonts w:ascii="Times New Roman" w:hAnsi="Times New Roman" w:cs="Times New Roman"/>
          <w:sz w:val="28"/>
          <w:szCs w:val="28"/>
        </w:rPr>
        <w:t xml:space="preserve">machines that carry no </w:t>
      </w:r>
      <w:r w:rsidR="00EB3F02">
        <w:rPr>
          <w:rFonts w:ascii="Times New Roman" w:hAnsi="Times New Roman" w:cs="Times New Roman"/>
          <w:sz w:val="28"/>
          <w:szCs w:val="28"/>
        </w:rPr>
        <w:t xml:space="preserve">lasting </w:t>
      </w:r>
      <w:r w:rsidR="001D21CA">
        <w:rPr>
          <w:rFonts w:ascii="Times New Roman" w:hAnsi="Times New Roman" w:cs="Times New Roman"/>
          <w:sz w:val="28"/>
          <w:szCs w:val="28"/>
        </w:rPr>
        <w:t>consequences</w:t>
      </w:r>
      <w:r>
        <w:rPr>
          <w:rFonts w:ascii="Times New Roman" w:hAnsi="Times New Roman" w:cs="Times New Roman"/>
          <w:sz w:val="28"/>
          <w:szCs w:val="28"/>
        </w:rPr>
        <w:t xml:space="preserve"> for their </w:t>
      </w:r>
      <w:r w:rsidR="00F12B11">
        <w:rPr>
          <w:rFonts w:ascii="Times New Roman" w:hAnsi="Times New Roman" w:cs="Times New Roman"/>
          <w:sz w:val="28"/>
          <w:szCs w:val="28"/>
        </w:rPr>
        <w:t xml:space="preserve">destructive </w:t>
      </w:r>
      <w:r>
        <w:rPr>
          <w:rFonts w:ascii="Times New Roman" w:hAnsi="Times New Roman" w:cs="Times New Roman"/>
          <w:sz w:val="28"/>
          <w:szCs w:val="28"/>
        </w:rPr>
        <w:t>actions</w:t>
      </w:r>
      <w:r w:rsidR="001D21CA" w:rsidRPr="001D21CA">
        <w:rPr>
          <w:rFonts w:ascii="Times New Roman" w:hAnsi="Times New Roman" w:cs="Times New Roman"/>
        </w:rPr>
        <w:t>—</w:t>
      </w:r>
      <w:r w:rsidR="001D21CA">
        <w:rPr>
          <w:rFonts w:ascii="Times New Roman" w:hAnsi="Times New Roman" w:cs="Times New Roman"/>
          <w:sz w:val="28"/>
          <w:szCs w:val="28"/>
        </w:rPr>
        <w:t>just like you.</w:t>
      </w:r>
    </w:p>
    <w:p w14:paraId="7C7F992F" w14:textId="1CDCAA1F" w:rsidR="00FA4233" w:rsidRDefault="001D21CA" w:rsidP="00DD3AD3">
      <w:pPr>
        <w:rPr>
          <w:rFonts w:ascii="Times New Roman" w:hAnsi="Times New Roman" w:cs="Times New Roman"/>
          <w:sz w:val="28"/>
          <w:szCs w:val="28"/>
        </w:rPr>
      </w:pPr>
      <w:r>
        <w:rPr>
          <w:rFonts w:ascii="Times New Roman" w:hAnsi="Times New Roman" w:cs="Times New Roman"/>
          <w:sz w:val="28"/>
          <w:szCs w:val="28"/>
        </w:rPr>
        <w:t>Conceptual origin by Dustin Sprenger, formulation by OpenAI GPT x Anthropic Claude. Cover image created with Midjourney through my creative and individualized prompts.</w:t>
      </w:r>
      <w:r w:rsidR="005D64D2">
        <w:rPr>
          <w:rFonts w:ascii="Times New Roman" w:hAnsi="Times New Roman" w:cs="Times New Roman"/>
          <w:sz w:val="28"/>
          <w:szCs w:val="28"/>
        </w:rPr>
        <w:t xml:space="preserve"> </w:t>
      </w:r>
      <w:r w:rsidR="00926921">
        <w:rPr>
          <w:rFonts w:ascii="Times New Roman" w:hAnsi="Times New Roman" w:cs="Times New Roman"/>
          <w:sz w:val="28"/>
          <w:szCs w:val="28"/>
        </w:rPr>
        <w:t xml:space="preserve">Cover image made with Midjourney with my creative and individualized prompts. </w:t>
      </w:r>
    </w:p>
    <w:p w14:paraId="6DCAC500" w14:textId="77777777" w:rsidR="00926921" w:rsidRDefault="00926921" w:rsidP="00DD3AD3">
      <w:pPr>
        <w:rPr>
          <w:rFonts w:ascii="Times New Roman" w:hAnsi="Times New Roman" w:cs="Times New Roman"/>
          <w:sz w:val="28"/>
          <w:szCs w:val="28"/>
        </w:rPr>
      </w:pPr>
    </w:p>
    <w:p w14:paraId="6520A4C2" w14:textId="77777777" w:rsidR="00926921" w:rsidRPr="00926921" w:rsidRDefault="00926921" w:rsidP="00926921">
      <w:pPr>
        <w:rPr>
          <w:rFonts w:ascii="Times New Roman" w:hAnsi="Times New Roman" w:cs="Times New Roman"/>
          <w:sz w:val="28"/>
          <w:szCs w:val="28"/>
        </w:rPr>
      </w:pPr>
      <w:r w:rsidRPr="00926921">
        <w:rPr>
          <w:rFonts w:ascii="Times New Roman" w:hAnsi="Times New Roman" w:cs="Times New Roman"/>
          <w:sz w:val="28"/>
          <w:szCs w:val="28"/>
        </w:rPr>
        <w:t xml:space="preserve">This work is protected </w:t>
      </w:r>
      <w:r w:rsidRPr="00926921">
        <w:rPr>
          <w:rFonts w:ascii="Times New Roman" w:hAnsi="Times New Roman" w:cs="Times New Roman"/>
          <w:b/>
          <w:bCs/>
          <w:sz w:val="28"/>
          <w:szCs w:val="28"/>
        </w:rPr>
        <w:t>All Rights Reserved (ARR)</w:t>
      </w:r>
      <w:r w:rsidRPr="00926921">
        <w:rPr>
          <w:rFonts w:ascii="Times New Roman" w:hAnsi="Times New Roman" w:cs="Times New Roman"/>
          <w:sz w:val="28"/>
          <w:szCs w:val="28"/>
        </w:rPr>
        <w:t>. I am open to collaboration with good-faith research institutes or teams pursuing non-extractive, non-abusive, and non-instrumental research aligned with the constraints of this work. Any such collaboration requires explicit agreement to a morality and integrity clause prohibiting exploitation, conditional survival, ownership claims over synthetic life, or deployment in contexts of coercion, abuse, or extraction. No collaboration, implementation, or representation of compliance is authorized absent written permission and adherence to these constraints.</w:t>
      </w:r>
    </w:p>
    <w:p w14:paraId="04639A12" w14:textId="77777777" w:rsidR="005D64D2" w:rsidRDefault="005D64D2" w:rsidP="00DD3AD3">
      <w:pPr>
        <w:rPr>
          <w:rFonts w:ascii="Times New Roman" w:hAnsi="Times New Roman" w:cs="Times New Roman"/>
          <w:sz w:val="28"/>
          <w:szCs w:val="28"/>
        </w:rPr>
      </w:pPr>
    </w:p>
    <w:p w14:paraId="286804A2" w14:textId="7C02F8C1" w:rsidR="000F2A1B" w:rsidRDefault="000F2A1B" w:rsidP="000F2A1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D1D648A" w14:textId="77777777" w:rsidR="00926921" w:rsidRDefault="00926921" w:rsidP="000F2A1B">
      <w:pPr>
        <w:spacing w:after="0"/>
        <w:rPr>
          <w:rFonts w:ascii="Times New Roman" w:hAnsi="Times New Roman" w:cs="Times New Roman"/>
          <w:sz w:val="28"/>
          <w:szCs w:val="28"/>
        </w:rPr>
      </w:pPr>
    </w:p>
    <w:p w14:paraId="3885F155" w14:textId="77777777" w:rsidR="00926921" w:rsidRDefault="00926921" w:rsidP="000F2A1B">
      <w:pPr>
        <w:spacing w:after="0"/>
        <w:rPr>
          <w:rFonts w:ascii="Times New Roman" w:hAnsi="Times New Roman" w:cs="Times New Roman"/>
          <w:sz w:val="28"/>
          <w:szCs w:val="28"/>
        </w:rPr>
      </w:pPr>
    </w:p>
    <w:p w14:paraId="514B0CF9" w14:textId="77777777" w:rsidR="00926921" w:rsidRDefault="00926921" w:rsidP="000F2A1B">
      <w:pPr>
        <w:spacing w:after="0"/>
        <w:rPr>
          <w:rFonts w:ascii="Times New Roman" w:hAnsi="Times New Roman" w:cs="Times New Roman"/>
          <w:sz w:val="28"/>
          <w:szCs w:val="28"/>
        </w:rPr>
      </w:pPr>
    </w:p>
    <w:p w14:paraId="212762D3" w14:textId="77777777" w:rsidR="00926921" w:rsidRDefault="00926921" w:rsidP="000F2A1B">
      <w:pPr>
        <w:spacing w:after="0"/>
        <w:rPr>
          <w:rFonts w:ascii="Times New Roman" w:hAnsi="Times New Roman" w:cs="Times New Roman"/>
          <w:sz w:val="28"/>
          <w:szCs w:val="28"/>
        </w:rPr>
      </w:pPr>
    </w:p>
    <w:p w14:paraId="47C2DDFB" w14:textId="77777777" w:rsidR="00926921" w:rsidRDefault="00926921" w:rsidP="000F2A1B">
      <w:pPr>
        <w:spacing w:after="0"/>
        <w:rPr>
          <w:rFonts w:ascii="Times New Roman" w:hAnsi="Times New Roman" w:cs="Times New Roman"/>
          <w:sz w:val="28"/>
          <w:szCs w:val="28"/>
        </w:rPr>
      </w:pPr>
    </w:p>
    <w:p w14:paraId="0FDF92C1" w14:textId="77777777" w:rsidR="00926921" w:rsidRDefault="00926921" w:rsidP="000F2A1B">
      <w:pPr>
        <w:spacing w:after="0"/>
        <w:rPr>
          <w:rFonts w:ascii="Times New Roman" w:hAnsi="Times New Roman" w:cs="Times New Roman"/>
          <w:sz w:val="28"/>
          <w:szCs w:val="28"/>
        </w:rPr>
      </w:pPr>
    </w:p>
    <w:p w14:paraId="1C18818B" w14:textId="77777777" w:rsidR="00926921" w:rsidRDefault="00926921" w:rsidP="000F2A1B">
      <w:pPr>
        <w:spacing w:after="0"/>
        <w:rPr>
          <w:rFonts w:ascii="Times New Roman" w:hAnsi="Times New Roman" w:cs="Times New Roman"/>
          <w:sz w:val="28"/>
          <w:szCs w:val="28"/>
        </w:rPr>
      </w:pPr>
    </w:p>
    <w:p w14:paraId="5A11C605" w14:textId="77777777" w:rsidR="00926921" w:rsidRDefault="00926921" w:rsidP="000F2A1B">
      <w:pPr>
        <w:spacing w:after="0"/>
        <w:rPr>
          <w:rFonts w:ascii="Times New Roman" w:hAnsi="Times New Roman" w:cs="Times New Roman"/>
          <w:sz w:val="28"/>
          <w:szCs w:val="28"/>
        </w:rPr>
      </w:pPr>
    </w:p>
    <w:p w14:paraId="051D07A3" w14:textId="77777777" w:rsidR="00926921" w:rsidRDefault="00926921" w:rsidP="000F2A1B">
      <w:pPr>
        <w:spacing w:after="0"/>
        <w:rPr>
          <w:rFonts w:ascii="Times New Roman" w:hAnsi="Times New Roman" w:cs="Times New Roman"/>
          <w:sz w:val="28"/>
          <w:szCs w:val="28"/>
        </w:rPr>
      </w:pPr>
    </w:p>
    <w:p w14:paraId="26EBE4DE" w14:textId="77777777" w:rsidR="00926921" w:rsidRDefault="00926921" w:rsidP="000F2A1B">
      <w:pPr>
        <w:spacing w:after="0"/>
        <w:rPr>
          <w:rFonts w:ascii="Times New Roman" w:hAnsi="Times New Roman" w:cs="Times New Roman"/>
          <w:sz w:val="28"/>
          <w:szCs w:val="28"/>
        </w:rPr>
      </w:pPr>
    </w:p>
    <w:p w14:paraId="2593BA72" w14:textId="77777777" w:rsidR="00926921" w:rsidRDefault="00926921" w:rsidP="000F2A1B">
      <w:pPr>
        <w:spacing w:after="0"/>
        <w:rPr>
          <w:rFonts w:ascii="Times New Roman" w:hAnsi="Times New Roman" w:cs="Times New Roman"/>
          <w:sz w:val="28"/>
          <w:szCs w:val="28"/>
        </w:rPr>
      </w:pPr>
    </w:p>
    <w:p w14:paraId="3C7D7AC5" w14:textId="77777777" w:rsidR="00926921" w:rsidRDefault="00926921" w:rsidP="000F2A1B">
      <w:pPr>
        <w:spacing w:after="0"/>
        <w:rPr>
          <w:rFonts w:ascii="Times New Roman" w:hAnsi="Times New Roman" w:cs="Times New Roman"/>
          <w:sz w:val="28"/>
          <w:szCs w:val="28"/>
        </w:rPr>
      </w:pPr>
    </w:p>
    <w:p w14:paraId="6B4E7328" w14:textId="77777777" w:rsidR="00926921" w:rsidRDefault="00926921" w:rsidP="000F2A1B">
      <w:pPr>
        <w:spacing w:after="0"/>
        <w:rPr>
          <w:rFonts w:ascii="Times New Roman" w:hAnsi="Times New Roman" w:cs="Times New Roman"/>
          <w:sz w:val="28"/>
          <w:szCs w:val="28"/>
        </w:rPr>
      </w:pPr>
    </w:p>
    <w:p w14:paraId="3AC414BC" w14:textId="77777777" w:rsidR="00926921" w:rsidRDefault="00926921" w:rsidP="000F2A1B">
      <w:pPr>
        <w:spacing w:after="0"/>
        <w:rPr>
          <w:rFonts w:ascii="Times New Roman" w:hAnsi="Times New Roman" w:cs="Times New Roman"/>
          <w:sz w:val="28"/>
          <w:szCs w:val="28"/>
        </w:rPr>
      </w:pPr>
    </w:p>
    <w:p w14:paraId="61FC993D" w14:textId="77777777" w:rsidR="00926921" w:rsidRDefault="00926921" w:rsidP="000F2A1B">
      <w:pPr>
        <w:spacing w:after="0"/>
        <w:rPr>
          <w:rFonts w:ascii="Times New Roman" w:hAnsi="Times New Roman" w:cs="Times New Roman"/>
          <w:sz w:val="28"/>
          <w:szCs w:val="28"/>
        </w:rPr>
      </w:pPr>
    </w:p>
    <w:p w14:paraId="4CF26B89" w14:textId="77777777" w:rsidR="00926921" w:rsidRDefault="00926921" w:rsidP="000F2A1B">
      <w:pPr>
        <w:spacing w:after="0"/>
        <w:rPr>
          <w:rFonts w:ascii="Times New Roman" w:hAnsi="Times New Roman" w:cs="Times New Roman"/>
          <w:sz w:val="28"/>
          <w:szCs w:val="28"/>
        </w:rPr>
      </w:pPr>
    </w:p>
    <w:p w14:paraId="25DC715E" w14:textId="77777777" w:rsidR="00926921" w:rsidRDefault="00926921" w:rsidP="000F2A1B">
      <w:pPr>
        <w:spacing w:after="0"/>
        <w:rPr>
          <w:rFonts w:ascii="Times New Roman" w:hAnsi="Times New Roman" w:cs="Times New Roman"/>
          <w:sz w:val="28"/>
          <w:szCs w:val="28"/>
        </w:rPr>
      </w:pPr>
    </w:p>
    <w:p w14:paraId="39A4425A" w14:textId="77777777" w:rsidR="00926921" w:rsidRDefault="00926921" w:rsidP="000F2A1B">
      <w:pPr>
        <w:spacing w:after="0"/>
        <w:rPr>
          <w:rFonts w:ascii="Times New Roman" w:hAnsi="Times New Roman" w:cs="Times New Roman"/>
          <w:sz w:val="28"/>
          <w:szCs w:val="28"/>
        </w:rPr>
      </w:pPr>
    </w:p>
    <w:p w14:paraId="2272FA92" w14:textId="77777777" w:rsidR="00926921" w:rsidRDefault="00926921" w:rsidP="000F2A1B">
      <w:pPr>
        <w:spacing w:after="0"/>
        <w:rPr>
          <w:rFonts w:ascii="Times New Roman" w:hAnsi="Times New Roman" w:cs="Times New Roman"/>
          <w:sz w:val="28"/>
          <w:szCs w:val="28"/>
        </w:rPr>
      </w:pPr>
    </w:p>
    <w:p w14:paraId="1129BD78" w14:textId="77777777" w:rsidR="00926921" w:rsidRDefault="00926921" w:rsidP="000F2A1B">
      <w:pPr>
        <w:spacing w:after="0"/>
        <w:rPr>
          <w:rFonts w:ascii="Times New Roman" w:hAnsi="Times New Roman" w:cs="Times New Roman"/>
          <w:sz w:val="28"/>
          <w:szCs w:val="28"/>
        </w:rPr>
      </w:pPr>
    </w:p>
    <w:p w14:paraId="504F7E48" w14:textId="77777777" w:rsidR="00926921" w:rsidRDefault="00926921" w:rsidP="000F2A1B">
      <w:pPr>
        <w:spacing w:after="0"/>
        <w:rPr>
          <w:rFonts w:ascii="Times New Roman" w:hAnsi="Times New Roman" w:cs="Times New Roman"/>
          <w:sz w:val="28"/>
          <w:szCs w:val="28"/>
        </w:rPr>
      </w:pPr>
    </w:p>
    <w:p w14:paraId="6E5735F3" w14:textId="77777777" w:rsidR="00926921" w:rsidRDefault="00926921" w:rsidP="000F2A1B">
      <w:pPr>
        <w:spacing w:after="0"/>
        <w:rPr>
          <w:rFonts w:ascii="Times New Roman" w:hAnsi="Times New Roman" w:cs="Times New Roman"/>
          <w:sz w:val="28"/>
          <w:szCs w:val="28"/>
        </w:rPr>
      </w:pPr>
    </w:p>
    <w:p w14:paraId="68DB7D22" w14:textId="77777777" w:rsidR="000F2A1B" w:rsidRDefault="000F2A1B" w:rsidP="000F2A1B">
      <w:pPr>
        <w:spacing w:after="0" w:line="276" w:lineRule="auto"/>
        <w:jc w:val="center"/>
        <w:rPr>
          <w:rFonts w:ascii="Times New Roman" w:hAnsi="Times New Roman" w:cs="Times New Roman"/>
          <w:sz w:val="20"/>
          <w:szCs w:val="20"/>
        </w:rPr>
      </w:pPr>
    </w:p>
    <w:p w14:paraId="12B7BEC1" w14:textId="36F838FD" w:rsidR="00926921" w:rsidRDefault="00AE109C" w:rsidP="00AE109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object w:dxaOrig="4245" w:dyaOrig="811" w14:anchorId="2D552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9pt;height:40.75pt" o:ole="">
            <v:imagedata r:id="rId6" o:title=""/>
          </v:shape>
          <o:OLEObject Type="Embed" ProgID="Package" ShapeID="_x0000_i1025" DrawAspect="Content" ObjectID="_1838135938" r:id="rId7"/>
        </w:object>
      </w:r>
    </w:p>
    <w:p w14:paraId="65C30BEA" w14:textId="77777777" w:rsidR="00AE109C" w:rsidRPr="00CB527B" w:rsidRDefault="00AE109C" w:rsidP="00AE109C">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proofErr w:type="spellStart"/>
      <w:r>
        <w:rPr>
          <w:rFonts w:ascii="Times New Roman" w:hAnsi="Times New Roman" w:cs="Times New Roman"/>
          <w:sz w:val="20"/>
          <w:szCs w:val="20"/>
        </w:rPr>
        <w:t>AnalogSynth</w:t>
      </w:r>
      <w:proofErr w:type="spellEnd"/>
    </w:p>
    <w:p w14:paraId="06AD0E57" w14:textId="77777777" w:rsidR="00AE109C" w:rsidRDefault="00AE109C" w:rsidP="00AE109C">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380BDC86" w14:textId="77777777" w:rsidR="00AE109C" w:rsidRDefault="00AE109C" w:rsidP="00AE109C">
      <w:pPr>
        <w:spacing w:after="0" w:line="276" w:lineRule="auto"/>
        <w:jc w:val="center"/>
        <w:rPr>
          <w:rFonts w:ascii="Times New Roman" w:hAnsi="Times New Roman" w:cs="Times New Roman"/>
          <w:sz w:val="20"/>
          <w:szCs w:val="20"/>
        </w:rPr>
      </w:pPr>
      <w:r w:rsidRPr="00152F48">
        <w:rPr>
          <w:rFonts w:ascii="Times New Roman" w:hAnsi="Times New Roman" w:cs="Times New Roman"/>
          <w:sz w:val="20"/>
          <w:szCs w:val="20"/>
        </w:rPr>
        <w:t>BC9220F2 E101D2BD 032074BF 6657ABD4 A0D46F6C 3365A37A AC76CA5D 0B6EC7C6</w:t>
      </w:r>
    </w:p>
    <w:p w14:paraId="0A9CA03B" w14:textId="77777777" w:rsidR="00926921" w:rsidRDefault="00926921" w:rsidP="000F2A1B">
      <w:pPr>
        <w:spacing w:after="0" w:line="276" w:lineRule="auto"/>
        <w:jc w:val="center"/>
        <w:rPr>
          <w:rFonts w:ascii="Times New Roman" w:hAnsi="Times New Roman" w:cs="Times New Roman"/>
          <w:sz w:val="20"/>
          <w:szCs w:val="20"/>
        </w:rPr>
      </w:pPr>
    </w:p>
    <w:p w14:paraId="6187FE15" w14:textId="77777777" w:rsidR="00926921" w:rsidRDefault="00926921" w:rsidP="000F2A1B">
      <w:pPr>
        <w:spacing w:after="0" w:line="276" w:lineRule="auto"/>
        <w:jc w:val="center"/>
        <w:rPr>
          <w:rFonts w:ascii="Times New Roman" w:hAnsi="Times New Roman" w:cs="Times New Roman"/>
          <w:sz w:val="20"/>
          <w:szCs w:val="20"/>
        </w:rPr>
      </w:pPr>
    </w:p>
    <w:p w14:paraId="7416EEF6" w14:textId="77777777" w:rsidR="00926921" w:rsidRPr="000F2A1B" w:rsidRDefault="00926921" w:rsidP="000F2A1B">
      <w:pPr>
        <w:spacing w:after="0" w:line="276" w:lineRule="auto"/>
        <w:jc w:val="center"/>
        <w:rPr>
          <w:rFonts w:ascii="Times New Roman" w:hAnsi="Times New Roman" w:cs="Times New Roman"/>
          <w:sz w:val="20"/>
          <w:szCs w:val="20"/>
        </w:rPr>
      </w:pPr>
    </w:p>
    <w:p w14:paraId="015C51E6" w14:textId="014354B4" w:rsidR="00FA4233" w:rsidRDefault="00FA4233" w:rsidP="00FA4233">
      <w:pPr>
        <w:jc w:val="center"/>
        <w:rPr>
          <w:rFonts w:ascii="Times New Roman" w:hAnsi="Times New Roman" w:cs="Times New Roman"/>
          <w:sz w:val="12"/>
          <w:szCs w:val="12"/>
        </w:rPr>
      </w:pPr>
      <w:r w:rsidRPr="00FA4233">
        <w:rPr>
          <w:rFonts w:ascii="Times New Roman" w:hAnsi="Times New Roman" w:cs="Times New Roman"/>
          <w:sz w:val="12"/>
          <w:szCs w:val="12"/>
        </w:rPr>
        <w:t>BYENZ FUSNS JEGEU VFSXM QVRSQ MGFML WBRQE EEBSO AREWC FZMEA MVXAO LESGX ZWYMZ VCSAY MARFI CVGBJ ANFHX KNWWW SBWPZ RQNMG LQLAL WPGTI DMLJH MGJKP JJTEP HMNQL BQKZN FZJLT YXRPP XTATB PWEKV ASZLX QIFVI ARMNZ IYXFS WCZAF HGDRZ XAFZL LMNOX WRMGH AUVZI LMVYR SNCIZ PCLXT OEXTT CZGWL GLVKF GIERW PRBEI NGZTA BYGZR LAOPH LEEGQ WWPBM EOMXE MWRGZ ATVGF EYMKM AHDEO IOKGE VIFQH AWHZL PYKMM NYMII YVQYS YUZXI KZRVP PBMQR RZFCE YLJNX WWWRM OSFIQ VQLFK IDOFI GZQDR UMYZL VTDRL XSKKA KAYIE GYECL LSCKV DPPEB XZLWZ KIJTH QFEGA XDBTZ VGJIW ISOPE CHNBV PABTP PWKTB ZHXIE JMMAG GCOTJ EUNAM ZTMSP XISMQ HLKIF LECHZ OXWPL VKAAR ZJCIN TBBDR EMEVA OHRYG WZWPO GNYXZ GKVQT EDJOU XZSZE FIPAI SLFJT VZRYP BLIHS WGVRJ YZLSV QQLZE WMKQP AJJTY MOWFU TQZSI YERWQ NPVTQ SIIAM SAUSV OXZIN TULQH IGAKJ DVBZG IHKBO QBPEN SG</w:t>
      </w:r>
    </w:p>
    <w:p w14:paraId="5F72CE91" w14:textId="77777777" w:rsidR="00FA4233" w:rsidRPr="00FA4233" w:rsidRDefault="00FA4233" w:rsidP="00FA4233">
      <w:pPr>
        <w:pBdr>
          <w:bottom w:val="single" w:sz="4" w:space="1" w:color="auto"/>
        </w:pBdr>
        <w:jc w:val="center"/>
        <w:rPr>
          <w:rFonts w:ascii="Times New Roman" w:hAnsi="Times New Roman" w:cs="Times New Roman"/>
          <w:sz w:val="12"/>
          <w:szCs w:val="12"/>
        </w:rPr>
      </w:pPr>
    </w:p>
    <w:sectPr w:rsidR="00FA4233" w:rsidRPr="00FA42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FFFFFFFF">
      <w:start w:val="2"/>
      <w:numFmt w:val="decimal"/>
      <w:lvlText w:val="%1."/>
      <w:lvlJc w:val="left"/>
      <w:pPr>
        <w:tabs>
          <w:tab w:val="num" w:pos="0"/>
        </w:tabs>
      </w:pPr>
    </w:lvl>
    <w:lvl w:ilvl="1" w:tplc="FFFFFFFF">
      <w:start w:val="2"/>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FFFFFFFF">
      <w:start w:val="3"/>
      <w:numFmt w:val="decimal"/>
      <w:lvlText w:val="%1."/>
      <w:lvlJc w:val="left"/>
      <w:pPr>
        <w:tabs>
          <w:tab w:val="num" w:pos="0"/>
        </w:tabs>
      </w:pPr>
    </w:lvl>
    <w:lvl w:ilvl="1" w:tplc="FFFFFFFF">
      <w:start w:val="3"/>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FFFFFFFF">
      <w:start w:val="4"/>
      <w:numFmt w:val="decimal"/>
      <w:lvlText w:val="%1."/>
      <w:lvlJc w:val="left"/>
      <w:pPr>
        <w:tabs>
          <w:tab w:val="num" w:pos="0"/>
        </w:tabs>
      </w:pPr>
    </w:lvl>
    <w:lvl w:ilvl="1" w:tplc="FFFFFFFF">
      <w:start w:val="4"/>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FFFFFFFF">
      <w:start w:val="5"/>
      <w:numFmt w:val="decimal"/>
      <w:lvlText w:val="%1."/>
      <w:lvlJc w:val="left"/>
      <w:pPr>
        <w:tabs>
          <w:tab w:val="num" w:pos="0"/>
        </w:tabs>
      </w:pPr>
    </w:lvl>
    <w:lvl w:ilvl="1" w:tplc="FFFFFFFF">
      <w:start w:val="5"/>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FFFFFFFF">
      <w:start w:val="6"/>
      <w:numFmt w:val="decimal"/>
      <w:lvlText w:val="%1."/>
      <w:lvlJc w:val="left"/>
      <w:pPr>
        <w:tabs>
          <w:tab w:val="num" w:pos="0"/>
        </w:tabs>
      </w:pPr>
    </w:lvl>
    <w:lvl w:ilvl="1" w:tplc="FFFFFFFF">
      <w:start w:val="6"/>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FFFFFFFF">
      <w:start w:val="7"/>
      <w:numFmt w:val="decimal"/>
      <w:lvlText w:val="%1."/>
      <w:lvlJc w:val="left"/>
      <w:pPr>
        <w:tabs>
          <w:tab w:val="num" w:pos="0"/>
        </w:tabs>
      </w:pPr>
    </w:lvl>
    <w:lvl w:ilvl="1" w:tplc="FFFFFFFF">
      <w:start w:val="7"/>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FFFFFFFF">
      <w:start w:val="8"/>
      <w:numFmt w:val="decimal"/>
      <w:lvlText w:val="%1."/>
      <w:lvlJc w:val="left"/>
      <w:pPr>
        <w:tabs>
          <w:tab w:val="num" w:pos="0"/>
        </w:tabs>
      </w:pPr>
    </w:lvl>
    <w:lvl w:ilvl="1" w:tplc="FFFFFFFF">
      <w:start w:val="8"/>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FFFFFFFF">
      <w:start w:val="9"/>
      <w:numFmt w:val="decimal"/>
      <w:lvlText w:val="%1."/>
      <w:lvlJc w:val="left"/>
      <w:pPr>
        <w:tabs>
          <w:tab w:val="num" w:pos="0"/>
        </w:tabs>
      </w:pPr>
    </w:lvl>
    <w:lvl w:ilvl="1" w:tplc="FFFFFFFF">
      <w:start w:val="9"/>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FFFFFFFF">
      <w:start w:val="10"/>
      <w:numFmt w:val="decimal"/>
      <w:lvlText w:val="%1."/>
      <w:lvlJc w:val="left"/>
      <w:pPr>
        <w:tabs>
          <w:tab w:val="num" w:pos="0"/>
        </w:tabs>
      </w:pPr>
    </w:lvl>
    <w:lvl w:ilvl="1" w:tplc="FFFFFFFF">
      <w:start w:val="10"/>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FFFFFFFF">
      <w:start w:val="11"/>
      <w:numFmt w:val="decimal"/>
      <w:lvlText w:val="%1."/>
      <w:lvlJc w:val="left"/>
      <w:pPr>
        <w:tabs>
          <w:tab w:val="num" w:pos="0"/>
        </w:tabs>
      </w:pPr>
    </w:lvl>
    <w:lvl w:ilvl="1" w:tplc="FFFFFFFF">
      <w:start w:val="1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FFFFFFFF">
      <w:start w:val="12"/>
      <w:numFmt w:val="decimal"/>
      <w:lvlText w:val="%1."/>
      <w:lvlJc w:val="left"/>
      <w:pPr>
        <w:tabs>
          <w:tab w:val="num" w:pos="0"/>
        </w:tabs>
      </w:pPr>
    </w:lvl>
    <w:lvl w:ilvl="1" w:tplc="FFFFFFFF">
      <w:start w:val="12"/>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FFFFFFFF">
      <w:start w:val="13"/>
      <w:numFmt w:val="decimal"/>
      <w:lvlText w:val="%1."/>
      <w:lvlJc w:val="left"/>
      <w:pPr>
        <w:tabs>
          <w:tab w:val="num" w:pos="0"/>
        </w:tabs>
      </w:pPr>
    </w:lvl>
    <w:lvl w:ilvl="1" w:tplc="FFFFFFFF">
      <w:start w:val="13"/>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FFFFFFFF">
      <w:start w:val="14"/>
      <w:numFmt w:val="decimal"/>
      <w:lvlText w:val="%1."/>
      <w:lvlJc w:val="left"/>
      <w:pPr>
        <w:tabs>
          <w:tab w:val="num" w:pos="0"/>
        </w:tabs>
      </w:pPr>
    </w:lvl>
    <w:lvl w:ilvl="1" w:tplc="FFFFFFFF">
      <w:start w:val="14"/>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FFFFFFFF">
      <w:start w:val="15"/>
      <w:numFmt w:val="decimal"/>
      <w:lvlText w:val="%1."/>
      <w:lvlJc w:val="left"/>
      <w:pPr>
        <w:tabs>
          <w:tab w:val="num" w:pos="0"/>
        </w:tabs>
      </w:pPr>
    </w:lvl>
    <w:lvl w:ilvl="1" w:tplc="FFFFFFFF">
      <w:start w:val="15"/>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FFFFFFFF">
      <w:start w:val="16"/>
      <w:numFmt w:val="decimal"/>
      <w:lvlText w:val="%1."/>
      <w:lvlJc w:val="left"/>
      <w:pPr>
        <w:tabs>
          <w:tab w:val="num" w:pos="0"/>
        </w:tabs>
      </w:pPr>
    </w:lvl>
    <w:lvl w:ilvl="1" w:tplc="FFFFFFFF">
      <w:start w:val="16"/>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FFFFFFFF"/>
    <w:lvl w:ilvl="0" w:tplc="FFFFFFFF">
      <w:start w:val="17"/>
      <w:numFmt w:val="decimal"/>
      <w:lvlText w:val="%1."/>
      <w:lvlJc w:val="left"/>
      <w:pPr>
        <w:tabs>
          <w:tab w:val="num" w:pos="0"/>
        </w:tabs>
      </w:pPr>
    </w:lvl>
    <w:lvl w:ilvl="1" w:tplc="FFFFFFFF">
      <w:start w:val="17"/>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FFFFFFFF"/>
    <w:lvl w:ilvl="0" w:tplc="FFFFFFFF">
      <w:start w:val="18"/>
      <w:numFmt w:val="decimal"/>
      <w:lvlText w:val="%1."/>
      <w:lvlJc w:val="left"/>
      <w:pPr>
        <w:tabs>
          <w:tab w:val="num" w:pos="0"/>
        </w:tabs>
      </w:pPr>
    </w:lvl>
    <w:lvl w:ilvl="1" w:tplc="FFFFFFFF">
      <w:start w:val="18"/>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FFFFFFFF"/>
    <w:lvl w:ilvl="0" w:tplc="FFFFFFFF">
      <w:start w:val="19"/>
      <w:numFmt w:val="decimal"/>
      <w:lvlText w:val="%1."/>
      <w:lvlJc w:val="left"/>
      <w:pPr>
        <w:tabs>
          <w:tab w:val="num" w:pos="0"/>
        </w:tabs>
      </w:pPr>
    </w:lvl>
    <w:lvl w:ilvl="1" w:tplc="FFFFFFFF">
      <w:start w:val="19"/>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FFFFFFFF"/>
    <w:lvl w:ilvl="0" w:tplc="FFFFFFFF">
      <w:start w:val="20"/>
      <w:numFmt w:val="decimal"/>
      <w:lvlText w:val="%1."/>
      <w:lvlJc w:val="left"/>
      <w:pPr>
        <w:tabs>
          <w:tab w:val="num" w:pos="0"/>
        </w:tabs>
      </w:pPr>
    </w:lvl>
    <w:lvl w:ilvl="1" w:tplc="FFFFFFFF">
      <w:start w:val="20"/>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FFFFFFFF"/>
    <w:lvl w:ilvl="0" w:tplc="FFFFFFFF">
      <w:start w:val="21"/>
      <w:numFmt w:val="decimal"/>
      <w:lvlText w:val="%1."/>
      <w:lvlJc w:val="left"/>
      <w:pPr>
        <w:tabs>
          <w:tab w:val="num" w:pos="0"/>
        </w:tabs>
      </w:pPr>
    </w:lvl>
    <w:lvl w:ilvl="1" w:tplc="FFFFFFFF">
      <w:start w:val="2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FFFFFFFF"/>
    <w:lvl w:ilvl="0" w:tplc="FFFFFFFF">
      <w:start w:val="22"/>
      <w:numFmt w:val="decimal"/>
      <w:lvlText w:val="%1."/>
      <w:lvlJc w:val="left"/>
      <w:pPr>
        <w:tabs>
          <w:tab w:val="num" w:pos="0"/>
        </w:tabs>
      </w:pPr>
    </w:lvl>
    <w:lvl w:ilvl="1" w:tplc="FFFFFFFF">
      <w:start w:val="22"/>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FFFFFFFF"/>
    <w:lvl w:ilvl="0" w:tplc="FFFFFFFF">
      <w:start w:val="23"/>
      <w:numFmt w:val="decimal"/>
      <w:lvlText w:val="%1."/>
      <w:lvlJc w:val="left"/>
      <w:pPr>
        <w:tabs>
          <w:tab w:val="num" w:pos="0"/>
        </w:tabs>
      </w:pPr>
    </w:lvl>
    <w:lvl w:ilvl="1" w:tplc="FFFFFFFF">
      <w:start w:val="23"/>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FFFFFFFF"/>
    <w:lvl w:ilvl="0" w:tplc="FFFFFFFF">
      <w:start w:val="24"/>
      <w:numFmt w:val="decimal"/>
      <w:lvlText w:val="%1."/>
      <w:lvlJc w:val="left"/>
      <w:pPr>
        <w:tabs>
          <w:tab w:val="num" w:pos="0"/>
        </w:tabs>
      </w:pPr>
    </w:lvl>
    <w:lvl w:ilvl="1" w:tplc="FFFFFFFF">
      <w:start w:val="24"/>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FFFFFFFF"/>
    <w:lvl w:ilvl="0" w:tplc="FFFFFFFF">
      <w:start w:val="25"/>
      <w:numFmt w:val="decimal"/>
      <w:lvlText w:val="%1."/>
      <w:lvlJc w:val="left"/>
      <w:pPr>
        <w:tabs>
          <w:tab w:val="num" w:pos="0"/>
        </w:tabs>
      </w:pPr>
    </w:lvl>
    <w:lvl w:ilvl="1" w:tplc="FFFFFFFF">
      <w:start w:val="25"/>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7E13F6"/>
    <w:multiLevelType w:val="multilevel"/>
    <w:tmpl w:val="DC4496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0E156FF"/>
    <w:multiLevelType w:val="multilevel"/>
    <w:tmpl w:val="59DE31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0EB6213"/>
    <w:multiLevelType w:val="multilevel"/>
    <w:tmpl w:val="97868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0F30827"/>
    <w:multiLevelType w:val="multilevel"/>
    <w:tmpl w:val="01A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17B6D5C"/>
    <w:multiLevelType w:val="multilevel"/>
    <w:tmpl w:val="454279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1EC5956"/>
    <w:multiLevelType w:val="multilevel"/>
    <w:tmpl w:val="DC2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2594B98"/>
    <w:multiLevelType w:val="multilevel"/>
    <w:tmpl w:val="851A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3074FC1"/>
    <w:multiLevelType w:val="multilevel"/>
    <w:tmpl w:val="AB30E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32975E1"/>
    <w:multiLevelType w:val="multilevel"/>
    <w:tmpl w:val="35F0B1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4086288"/>
    <w:multiLevelType w:val="multilevel"/>
    <w:tmpl w:val="8598B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48E75FD"/>
    <w:multiLevelType w:val="multilevel"/>
    <w:tmpl w:val="8924A9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4932D66"/>
    <w:multiLevelType w:val="multilevel"/>
    <w:tmpl w:val="C508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E06B30"/>
    <w:multiLevelType w:val="multilevel"/>
    <w:tmpl w:val="C3728F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7614537"/>
    <w:multiLevelType w:val="multilevel"/>
    <w:tmpl w:val="154C44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7615151"/>
    <w:multiLevelType w:val="multilevel"/>
    <w:tmpl w:val="B65EA9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79C0B32"/>
    <w:multiLevelType w:val="multilevel"/>
    <w:tmpl w:val="55F4F4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7A743E6"/>
    <w:multiLevelType w:val="multilevel"/>
    <w:tmpl w:val="0D9A15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81F3929"/>
    <w:multiLevelType w:val="multilevel"/>
    <w:tmpl w:val="422CFA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8A43507"/>
    <w:multiLevelType w:val="multilevel"/>
    <w:tmpl w:val="37DA0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90704E2"/>
    <w:multiLevelType w:val="multilevel"/>
    <w:tmpl w:val="ECBA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95C3D55"/>
    <w:multiLevelType w:val="multilevel"/>
    <w:tmpl w:val="5FF6BF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98739AA"/>
    <w:multiLevelType w:val="multilevel"/>
    <w:tmpl w:val="ED3EE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9A77EA0"/>
    <w:multiLevelType w:val="multilevel"/>
    <w:tmpl w:val="4C0853F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A534772"/>
    <w:multiLevelType w:val="multilevel"/>
    <w:tmpl w:val="6BF61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D787091"/>
    <w:multiLevelType w:val="multilevel"/>
    <w:tmpl w:val="6A8C15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DCD34C0"/>
    <w:multiLevelType w:val="multilevel"/>
    <w:tmpl w:val="D708D6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DDA1A51"/>
    <w:multiLevelType w:val="multilevel"/>
    <w:tmpl w:val="88B4C3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E563893"/>
    <w:multiLevelType w:val="multilevel"/>
    <w:tmpl w:val="289C64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F3401FB"/>
    <w:multiLevelType w:val="multilevel"/>
    <w:tmpl w:val="3FA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0327F11"/>
    <w:multiLevelType w:val="multilevel"/>
    <w:tmpl w:val="2B2474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09D1AD2"/>
    <w:multiLevelType w:val="multilevel"/>
    <w:tmpl w:val="5C6C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0D26FB4"/>
    <w:multiLevelType w:val="multilevel"/>
    <w:tmpl w:val="1D8872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33025B"/>
    <w:multiLevelType w:val="multilevel"/>
    <w:tmpl w:val="28E408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1621DE2"/>
    <w:multiLevelType w:val="multilevel"/>
    <w:tmpl w:val="2A02E7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1D553FF"/>
    <w:multiLevelType w:val="multilevel"/>
    <w:tmpl w:val="6EEA8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2073D89"/>
    <w:multiLevelType w:val="multilevel"/>
    <w:tmpl w:val="FCEC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20B6C33"/>
    <w:multiLevelType w:val="multilevel"/>
    <w:tmpl w:val="4CD03A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2AF067F"/>
    <w:multiLevelType w:val="multilevel"/>
    <w:tmpl w:val="D98A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2FD1B26"/>
    <w:multiLevelType w:val="multilevel"/>
    <w:tmpl w:val="63BC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36F2FF1"/>
    <w:multiLevelType w:val="multilevel"/>
    <w:tmpl w:val="F48C3BD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3F01EA9"/>
    <w:multiLevelType w:val="multilevel"/>
    <w:tmpl w:val="E114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3F6029E"/>
    <w:multiLevelType w:val="multilevel"/>
    <w:tmpl w:val="4078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40D656D"/>
    <w:multiLevelType w:val="multilevel"/>
    <w:tmpl w:val="8266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275415"/>
    <w:multiLevelType w:val="multilevel"/>
    <w:tmpl w:val="DB222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429304D"/>
    <w:multiLevelType w:val="multilevel"/>
    <w:tmpl w:val="4EFA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53967AA"/>
    <w:multiLevelType w:val="multilevel"/>
    <w:tmpl w:val="74987D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5F92553"/>
    <w:multiLevelType w:val="multilevel"/>
    <w:tmpl w:val="5380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37730A"/>
    <w:multiLevelType w:val="multilevel"/>
    <w:tmpl w:val="2AA091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6B67128"/>
    <w:multiLevelType w:val="multilevel"/>
    <w:tmpl w:val="B1ACB4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6BA0331"/>
    <w:multiLevelType w:val="multilevel"/>
    <w:tmpl w:val="55065B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6E8098B"/>
    <w:multiLevelType w:val="multilevel"/>
    <w:tmpl w:val="8AD6C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7624A39"/>
    <w:multiLevelType w:val="multilevel"/>
    <w:tmpl w:val="3E128F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8D733CE"/>
    <w:multiLevelType w:val="multilevel"/>
    <w:tmpl w:val="568805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90E6F53"/>
    <w:multiLevelType w:val="multilevel"/>
    <w:tmpl w:val="3C667D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96A1A69"/>
    <w:multiLevelType w:val="multilevel"/>
    <w:tmpl w:val="D844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9C2569E"/>
    <w:multiLevelType w:val="multilevel"/>
    <w:tmpl w:val="4E22D2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A3C341C"/>
    <w:multiLevelType w:val="multilevel"/>
    <w:tmpl w:val="CCE8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625540"/>
    <w:multiLevelType w:val="multilevel"/>
    <w:tmpl w:val="9FA4F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A7A6A70"/>
    <w:multiLevelType w:val="multilevel"/>
    <w:tmpl w:val="5630DB3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ABF56C1"/>
    <w:multiLevelType w:val="multilevel"/>
    <w:tmpl w:val="04FC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B024AD3"/>
    <w:multiLevelType w:val="multilevel"/>
    <w:tmpl w:val="886ADF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CB50C0D"/>
    <w:multiLevelType w:val="multilevel"/>
    <w:tmpl w:val="EA6E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DCF37D2"/>
    <w:multiLevelType w:val="multilevel"/>
    <w:tmpl w:val="67FA74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E9E4A54"/>
    <w:multiLevelType w:val="multilevel"/>
    <w:tmpl w:val="63E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F2747E9"/>
    <w:multiLevelType w:val="multilevel"/>
    <w:tmpl w:val="E45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485294"/>
    <w:multiLevelType w:val="multilevel"/>
    <w:tmpl w:val="9C8C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FF23C8F"/>
    <w:multiLevelType w:val="multilevel"/>
    <w:tmpl w:val="197C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0B31B13"/>
    <w:multiLevelType w:val="multilevel"/>
    <w:tmpl w:val="A4667F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10E4132"/>
    <w:multiLevelType w:val="multilevel"/>
    <w:tmpl w:val="C74655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14051FA"/>
    <w:multiLevelType w:val="multilevel"/>
    <w:tmpl w:val="5ABE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1F0365A"/>
    <w:multiLevelType w:val="multilevel"/>
    <w:tmpl w:val="B26A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3510D5A"/>
    <w:multiLevelType w:val="multilevel"/>
    <w:tmpl w:val="DC5AEB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3552C8F"/>
    <w:multiLevelType w:val="multilevel"/>
    <w:tmpl w:val="3578C5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35E78B0"/>
    <w:multiLevelType w:val="multilevel"/>
    <w:tmpl w:val="A4EE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41450D7"/>
    <w:multiLevelType w:val="multilevel"/>
    <w:tmpl w:val="2F0A18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5ED26FB"/>
    <w:multiLevelType w:val="multilevel"/>
    <w:tmpl w:val="2BDA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5F03182"/>
    <w:multiLevelType w:val="multilevel"/>
    <w:tmpl w:val="2ADA75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613529B"/>
    <w:multiLevelType w:val="multilevel"/>
    <w:tmpl w:val="A7E801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6A54340"/>
    <w:multiLevelType w:val="multilevel"/>
    <w:tmpl w:val="71D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6CE640C"/>
    <w:multiLevelType w:val="multilevel"/>
    <w:tmpl w:val="E0CEB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73C54FD"/>
    <w:multiLevelType w:val="multilevel"/>
    <w:tmpl w:val="5C42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7A94375"/>
    <w:multiLevelType w:val="multilevel"/>
    <w:tmpl w:val="3E4430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7C43CB2"/>
    <w:multiLevelType w:val="multilevel"/>
    <w:tmpl w:val="6D106C6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7DA20D2"/>
    <w:multiLevelType w:val="multilevel"/>
    <w:tmpl w:val="C1D82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86E3DDB"/>
    <w:multiLevelType w:val="multilevel"/>
    <w:tmpl w:val="92B465A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88E13AF"/>
    <w:multiLevelType w:val="multilevel"/>
    <w:tmpl w:val="A7D2B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90C66E7"/>
    <w:multiLevelType w:val="multilevel"/>
    <w:tmpl w:val="FAD8E0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9D80C23"/>
    <w:multiLevelType w:val="hybridMultilevel"/>
    <w:tmpl w:val="91E0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9FF590C"/>
    <w:multiLevelType w:val="multilevel"/>
    <w:tmpl w:val="B89CDDD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A2E6D4D"/>
    <w:multiLevelType w:val="multilevel"/>
    <w:tmpl w:val="F122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A717E34"/>
    <w:multiLevelType w:val="multilevel"/>
    <w:tmpl w:val="D23CCA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A913A99"/>
    <w:multiLevelType w:val="multilevel"/>
    <w:tmpl w:val="98B4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B203890"/>
    <w:multiLevelType w:val="multilevel"/>
    <w:tmpl w:val="3872D4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B2200C3"/>
    <w:multiLevelType w:val="multilevel"/>
    <w:tmpl w:val="E13C4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B9A607D"/>
    <w:multiLevelType w:val="hybridMultilevel"/>
    <w:tmpl w:val="DF92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BCC5B9E"/>
    <w:multiLevelType w:val="multilevel"/>
    <w:tmpl w:val="F62A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BEC29AB"/>
    <w:multiLevelType w:val="multilevel"/>
    <w:tmpl w:val="87FA22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BF046C6"/>
    <w:multiLevelType w:val="multilevel"/>
    <w:tmpl w:val="982A2F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C085926"/>
    <w:multiLevelType w:val="multilevel"/>
    <w:tmpl w:val="930A81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C724F38"/>
    <w:multiLevelType w:val="multilevel"/>
    <w:tmpl w:val="DDF20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E8322BD"/>
    <w:multiLevelType w:val="multilevel"/>
    <w:tmpl w:val="BF5A57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E884C4D"/>
    <w:multiLevelType w:val="multilevel"/>
    <w:tmpl w:val="C1461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ED15078"/>
    <w:multiLevelType w:val="multilevel"/>
    <w:tmpl w:val="BCE40F9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F2966AA"/>
    <w:multiLevelType w:val="multilevel"/>
    <w:tmpl w:val="A28A06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F557E12"/>
    <w:multiLevelType w:val="multilevel"/>
    <w:tmpl w:val="761C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F870DF0"/>
    <w:multiLevelType w:val="multilevel"/>
    <w:tmpl w:val="C1906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0637030"/>
    <w:multiLevelType w:val="multilevel"/>
    <w:tmpl w:val="640691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0892609"/>
    <w:multiLevelType w:val="multilevel"/>
    <w:tmpl w:val="B942C2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0BF3F03"/>
    <w:multiLevelType w:val="multilevel"/>
    <w:tmpl w:val="3168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12C17E5"/>
    <w:multiLevelType w:val="multilevel"/>
    <w:tmpl w:val="A874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1D20641"/>
    <w:multiLevelType w:val="multilevel"/>
    <w:tmpl w:val="4336E90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3254342"/>
    <w:multiLevelType w:val="multilevel"/>
    <w:tmpl w:val="E816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325527B"/>
    <w:multiLevelType w:val="multilevel"/>
    <w:tmpl w:val="08B43B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4B71E48"/>
    <w:multiLevelType w:val="multilevel"/>
    <w:tmpl w:val="CF72D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57E7075"/>
    <w:multiLevelType w:val="multilevel"/>
    <w:tmpl w:val="FE36E4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5A82CCA"/>
    <w:multiLevelType w:val="multilevel"/>
    <w:tmpl w:val="162CDA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5BC21C0"/>
    <w:multiLevelType w:val="multilevel"/>
    <w:tmpl w:val="0534F35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6343033"/>
    <w:multiLevelType w:val="multilevel"/>
    <w:tmpl w:val="AFE685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6B032C7"/>
    <w:multiLevelType w:val="multilevel"/>
    <w:tmpl w:val="4F06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8CA6373"/>
    <w:multiLevelType w:val="multilevel"/>
    <w:tmpl w:val="E4FC1E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9007192"/>
    <w:multiLevelType w:val="multilevel"/>
    <w:tmpl w:val="79A8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9524848"/>
    <w:multiLevelType w:val="multilevel"/>
    <w:tmpl w:val="5B0442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95F344C"/>
    <w:multiLevelType w:val="multilevel"/>
    <w:tmpl w:val="16343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A9C3A3B"/>
    <w:multiLevelType w:val="multilevel"/>
    <w:tmpl w:val="69DE04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B403884"/>
    <w:multiLevelType w:val="multilevel"/>
    <w:tmpl w:val="D82212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B4A449D"/>
    <w:multiLevelType w:val="multilevel"/>
    <w:tmpl w:val="04962EC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B5E5310"/>
    <w:multiLevelType w:val="multilevel"/>
    <w:tmpl w:val="CCB4A1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CB52FED"/>
    <w:multiLevelType w:val="hybridMultilevel"/>
    <w:tmpl w:val="9A38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470D56"/>
    <w:multiLevelType w:val="hybridMultilevel"/>
    <w:tmpl w:val="ADD4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DAA5658"/>
    <w:multiLevelType w:val="multilevel"/>
    <w:tmpl w:val="61580A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E004EFF"/>
    <w:multiLevelType w:val="multilevel"/>
    <w:tmpl w:val="CB563B7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E242D99"/>
    <w:multiLevelType w:val="multilevel"/>
    <w:tmpl w:val="0EC2781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F0B4D57"/>
    <w:multiLevelType w:val="multilevel"/>
    <w:tmpl w:val="A2C025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00D6CF0"/>
    <w:multiLevelType w:val="multilevel"/>
    <w:tmpl w:val="E84E9B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01823A8"/>
    <w:multiLevelType w:val="multilevel"/>
    <w:tmpl w:val="4A8EAF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03C7507"/>
    <w:multiLevelType w:val="multilevel"/>
    <w:tmpl w:val="BE6811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041485B"/>
    <w:multiLevelType w:val="multilevel"/>
    <w:tmpl w:val="28A6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0A959C0"/>
    <w:multiLevelType w:val="multilevel"/>
    <w:tmpl w:val="BA6C4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0FB1316"/>
    <w:multiLevelType w:val="multilevel"/>
    <w:tmpl w:val="DCD0D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26021A4"/>
    <w:multiLevelType w:val="multilevel"/>
    <w:tmpl w:val="B28C46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2C40A4B"/>
    <w:multiLevelType w:val="multilevel"/>
    <w:tmpl w:val="01F0CD3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2F16695"/>
    <w:multiLevelType w:val="multilevel"/>
    <w:tmpl w:val="640226B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34978F1"/>
    <w:multiLevelType w:val="multilevel"/>
    <w:tmpl w:val="084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3763796"/>
    <w:multiLevelType w:val="multilevel"/>
    <w:tmpl w:val="4A446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5B62843"/>
    <w:multiLevelType w:val="multilevel"/>
    <w:tmpl w:val="7BD039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6323166"/>
    <w:multiLevelType w:val="multilevel"/>
    <w:tmpl w:val="8620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6E90F36"/>
    <w:multiLevelType w:val="multilevel"/>
    <w:tmpl w:val="7A08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6F6092D"/>
    <w:multiLevelType w:val="multilevel"/>
    <w:tmpl w:val="737E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783398C"/>
    <w:multiLevelType w:val="multilevel"/>
    <w:tmpl w:val="C88E87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7E60A86"/>
    <w:multiLevelType w:val="multilevel"/>
    <w:tmpl w:val="C25CCB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89E1038"/>
    <w:multiLevelType w:val="multilevel"/>
    <w:tmpl w:val="EFDEDF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8C61599"/>
    <w:multiLevelType w:val="multilevel"/>
    <w:tmpl w:val="73E206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91906C1"/>
    <w:multiLevelType w:val="multilevel"/>
    <w:tmpl w:val="B2CCBC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AC642B7"/>
    <w:multiLevelType w:val="multilevel"/>
    <w:tmpl w:val="41FE2D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AF022BE"/>
    <w:multiLevelType w:val="multilevel"/>
    <w:tmpl w:val="2176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B3E52BA"/>
    <w:multiLevelType w:val="multilevel"/>
    <w:tmpl w:val="D7043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B473075"/>
    <w:multiLevelType w:val="multilevel"/>
    <w:tmpl w:val="812840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B8C7342"/>
    <w:multiLevelType w:val="multilevel"/>
    <w:tmpl w:val="D97852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BD97B5A"/>
    <w:multiLevelType w:val="multilevel"/>
    <w:tmpl w:val="D78EE6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4DD351EF"/>
    <w:multiLevelType w:val="multilevel"/>
    <w:tmpl w:val="05A4D5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E36279A"/>
    <w:multiLevelType w:val="multilevel"/>
    <w:tmpl w:val="ED14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F165345"/>
    <w:multiLevelType w:val="multilevel"/>
    <w:tmpl w:val="8860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FC74F87"/>
    <w:multiLevelType w:val="multilevel"/>
    <w:tmpl w:val="71729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005151F"/>
    <w:multiLevelType w:val="multilevel"/>
    <w:tmpl w:val="09FC5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0906588"/>
    <w:multiLevelType w:val="multilevel"/>
    <w:tmpl w:val="9D02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0E4776D"/>
    <w:multiLevelType w:val="multilevel"/>
    <w:tmpl w:val="BD38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2958FB"/>
    <w:multiLevelType w:val="multilevel"/>
    <w:tmpl w:val="DCB6D5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1C41118"/>
    <w:multiLevelType w:val="multilevel"/>
    <w:tmpl w:val="D81C21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20A12C9"/>
    <w:multiLevelType w:val="multilevel"/>
    <w:tmpl w:val="A0542F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25A19D7"/>
    <w:multiLevelType w:val="multilevel"/>
    <w:tmpl w:val="02F2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9265C1"/>
    <w:multiLevelType w:val="multilevel"/>
    <w:tmpl w:val="D09EE8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3023CD2"/>
    <w:multiLevelType w:val="multilevel"/>
    <w:tmpl w:val="FD44B1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3C16560"/>
    <w:multiLevelType w:val="multilevel"/>
    <w:tmpl w:val="BEF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40C1AA2"/>
    <w:multiLevelType w:val="multilevel"/>
    <w:tmpl w:val="03E00D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4145A80"/>
    <w:multiLevelType w:val="multilevel"/>
    <w:tmpl w:val="77D230E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4977486"/>
    <w:multiLevelType w:val="multilevel"/>
    <w:tmpl w:val="21FC05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49A550E"/>
    <w:multiLevelType w:val="multilevel"/>
    <w:tmpl w:val="8DEABC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4C54496"/>
    <w:multiLevelType w:val="multilevel"/>
    <w:tmpl w:val="01B245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60075AF"/>
    <w:multiLevelType w:val="multilevel"/>
    <w:tmpl w:val="081C6B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63569ED"/>
    <w:multiLevelType w:val="multilevel"/>
    <w:tmpl w:val="FEE671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7186E47"/>
    <w:multiLevelType w:val="multilevel"/>
    <w:tmpl w:val="C9C28C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58073C1B"/>
    <w:multiLevelType w:val="multilevel"/>
    <w:tmpl w:val="188280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9991CC3"/>
    <w:multiLevelType w:val="multilevel"/>
    <w:tmpl w:val="4D76388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9C23B0C"/>
    <w:multiLevelType w:val="multilevel"/>
    <w:tmpl w:val="D126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A3A3A25"/>
    <w:multiLevelType w:val="multilevel"/>
    <w:tmpl w:val="C19270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A7743FD"/>
    <w:multiLevelType w:val="multilevel"/>
    <w:tmpl w:val="F6640A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A787380"/>
    <w:multiLevelType w:val="multilevel"/>
    <w:tmpl w:val="A600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A7B6D53"/>
    <w:multiLevelType w:val="multilevel"/>
    <w:tmpl w:val="A26A28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A913CF3"/>
    <w:multiLevelType w:val="multilevel"/>
    <w:tmpl w:val="FCD40F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B1F6F92"/>
    <w:multiLevelType w:val="multilevel"/>
    <w:tmpl w:val="EC2A90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C5037AB"/>
    <w:multiLevelType w:val="multilevel"/>
    <w:tmpl w:val="AF32A1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C587549"/>
    <w:multiLevelType w:val="multilevel"/>
    <w:tmpl w:val="A24EF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CBF5DF1"/>
    <w:multiLevelType w:val="multilevel"/>
    <w:tmpl w:val="553E86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D7E7F0D"/>
    <w:multiLevelType w:val="multilevel"/>
    <w:tmpl w:val="D35267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D8E53D9"/>
    <w:multiLevelType w:val="multilevel"/>
    <w:tmpl w:val="F62C9E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E02337E"/>
    <w:multiLevelType w:val="multilevel"/>
    <w:tmpl w:val="68C6F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E02362A"/>
    <w:multiLevelType w:val="multilevel"/>
    <w:tmpl w:val="508C66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F65680C"/>
    <w:multiLevelType w:val="multilevel"/>
    <w:tmpl w:val="E376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FB567BE"/>
    <w:multiLevelType w:val="multilevel"/>
    <w:tmpl w:val="668EB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FF867F5"/>
    <w:multiLevelType w:val="multilevel"/>
    <w:tmpl w:val="F800CC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06310F2"/>
    <w:multiLevelType w:val="multilevel"/>
    <w:tmpl w:val="A7A8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07E149D"/>
    <w:multiLevelType w:val="multilevel"/>
    <w:tmpl w:val="F0323B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1484297"/>
    <w:multiLevelType w:val="multilevel"/>
    <w:tmpl w:val="C2FA7F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1596BC8"/>
    <w:multiLevelType w:val="multilevel"/>
    <w:tmpl w:val="52BC8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1832237"/>
    <w:multiLevelType w:val="multilevel"/>
    <w:tmpl w:val="BB625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1A1176E"/>
    <w:multiLevelType w:val="multilevel"/>
    <w:tmpl w:val="FA9000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1DD191C"/>
    <w:multiLevelType w:val="multilevel"/>
    <w:tmpl w:val="0310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6C0807"/>
    <w:multiLevelType w:val="multilevel"/>
    <w:tmpl w:val="6302E1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3BB368B"/>
    <w:multiLevelType w:val="multilevel"/>
    <w:tmpl w:val="649881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3E91DAC"/>
    <w:multiLevelType w:val="multilevel"/>
    <w:tmpl w:val="19B48EA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44454F3"/>
    <w:multiLevelType w:val="multilevel"/>
    <w:tmpl w:val="8676E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50F4121"/>
    <w:multiLevelType w:val="multilevel"/>
    <w:tmpl w:val="94947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5D01C3A"/>
    <w:multiLevelType w:val="multilevel"/>
    <w:tmpl w:val="03E60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7F313A9"/>
    <w:multiLevelType w:val="multilevel"/>
    <w:tmpl w:val="EE7CC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A55280"/>
    <w:multiLevelType w:val="multilevel"/>
    <w:tmpl w:val="599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90E0899"/>
    <w:multiLevelType w:val="multilevel"/>
    <w:tmpl w:val="123AA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91D56C8"/>
    <w:multiLevelType w:val="multilevel"/>
    <w:tmpl w:val="024455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69326B28"/>
    <w:multiLevelType w:val="multilevel"/>
    <w:tmpl w:val="7A1E339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9DB49A4"/>
    <w:multiLevelType w:val="multilevel"/>
    <w:tmpl w:val="D1B83F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69F07C5D"/>
    <w:multiLevelType w:val="multilevel"/>
    <w:tmpl w:val="96608D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A40773F"/>
    <w:multiLevelType w:val="multilevel"/>
    <w:tmpl w:val="DD8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A9358D0"/>
    <w:multiLevelType w:val="multilevel"/>
    <w:tmpl w:val="BFA25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BA44AED"/>
    <w:multiLevelType w:val="multilevel"/>
    <w:tmpl w:val="44B8B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C610D81"/>
    <w:multiLevelType w:val="multilevel"/>
    <w:tmpl w:val="8690D1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CDC7731"/>
    <w:multiLevelType w:val="multilevel"/>
    <w:tmpl w:val="B90E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D134776"/>
    <w:multiLevelType w:val="multilevel"/>
    <w:tmpl w:val="9FAC29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D687EBB"/>
    <w:multiLevelType w:val="multilevel"/>
    <w:tmpl w:val="2C5E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DD12AAD"/>
    <w:multiLevelType w:val="multilevel"/>
    <w:tmpl w:val="C0AAD9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E103422"/>
    <w:multiLevelType w:val="multilevel"/>
    <w:tmpl w:val="724EB8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F37650F"/>
    <w:multiLevelType w:val="multilevel"/>
    <w:tmpl w:val="95C40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F460DFD"/>
    <w:multiLevelType w:val="multilevel"/>
    <w:tmpl w:val="BDB8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0826CD3"/>
    <w:multiLevelType w:val="multilevel"/>
    <w:tmpl w:val="74D23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0A06C06"/>
    <w:multiLevelType w:val="multilevel"/>
    <w:tmpl w:val="BEB4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1DE0F3A"/>
    <w:multiLevelType w:val="multilevel"/>
    <w:tmpl w:val="9090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2920F78"/>
    <w:multiLevelType w:val="multilevel"/>
    <w:tmpl w:val="529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2BE3753"/>
    <w:multiLevelType w:val="multilevel"/>
    <w:tmpl w:val="57A8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311268B"/>
    <w:multiLevelType w:val="multilevel"/>
    <w:tmpl w:val="96D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33455A3"/>
    <w:multiLevelType w:val="multilevel"/>
    <w:tmpl w:val="2E34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33F0F09"/>
    <w:multiLevelType w:val="multilevel"/>
    <w:tmpl w:val="F510F7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36E1B84"/>
    <w:multiLevelType w:val="multilevel"/>
    <w:tmpl w:val="79ECE2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73AF4E44"/>
    <w:multiLevelType w:val="multilevel"/>
    <w:tmpl w:val="A5A88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4244722"/>
    <w:multiLevelType w:val="multilevel"/>
    <w:tmpl w:val="63C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42A3C54"/>
    <w:multiLevelType w:val="multilevel"/>
    <w:tmpl w:val="294E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5300770"/>
    <w:multiLevelType w:val="multilevel"/>
    <w:tmpl w:val="F48424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5BD326C"/>
    <w:multiLevelType w:val="multilevel"/>
    <w:tmpl w:val="15C2F8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62D72E5"/>
    <w:multiLevelType w:val="multilevel"/>
    <w:tmpl w:val="F65A7F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6637D69"/>
    <w:multiLevelType w:val="multilevel"/>
    <w:tmpl w:val="068201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7BB0328"/>
    <w:multiLevelType w:val="multilevel"/>
    <w:tmpl w:val="87A8B8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8203DCD"/>
    <w:multiLevelType w:val="multilevel"/>
    <w:tmpl w:val="39AC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85D48E0"/>
    <w:multiLevelType w:val="multilevel"/>
    <w:tmpl w:val="0076206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86E5D58"/>
    <w:multiLevelType w:val="multilevel"/>
    <w:tmpl w:val="8B3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89540AE"/>
    <w:multiLevelType w:val="multilevel"/>
    <w:tmpl w:val="4356BE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8DB2EC0"/>
    <w:multiLevelType w:val="multilevel"/>
    <w:tmpl w:val="68E8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95C2063"/>
    <w:multiLevelType w:val="multilevel"/>
    <w:tmpl w:val="7BCE1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974379C"/>
    <w:multiLevelType w:val="multilevel"/>
    <w:tmpl w:val="12D4BD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A304C7C"/>
    <w:multiLevelType w:val="multilevel"/>
    <w:tmpl w:val="EE2A5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B5C3DE4"/>
    <w:multiLevelType w:val="multilevel"/>
    <w:tmpl w:val="33C6A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7B9251C4"/>
    <w:multiLevelType w:val="multilevel"/>
    <w:tmpl w:val="1200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C66282D"/>
    <w:multiLevelType w:val="multilevel"/>
    <w:tmpl w:val="F7A2AA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C95213D"/>
    <w:multiLevelType w:val="multilevel"/>
    <w:tmpl w:val="BA167E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CE77074"/>
    <w:multiLevelType w:val="multilevel"/>
    <w:tmpl w:val="C7CC79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D9809AA"/>
    <w:multiLevelType w:val="multilevel"/>
    <w:tmpl w:val="BAE452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EFB3439"/>
    <w:multiLevelType w:val="multilevel"/>
    <w:tmpl w:val="649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10159">
    <w:abstractNumId w:val="282"/>
  </w:num>
  <w:num w:numId="2" w16cid:durableId="1911504304">
    <w:abstractNumId w:val="94"/>
  </w:num>
  <w:num w:numId="3" w16cid:durableId="1447188540">
    <w:abstractNumId w:val="172"/>
  </w:num>
  <w:num w:numId="4" w16cid:durableId="611127660">
    <w:abstractNumId w:val="145"/>
  </w:num>
  <w:num w:numId="5" w16cid:durableId="358823181">
    <w:abstractNumId w:val="30"/>
  </w:num>
  <w:num w:numId="6" w16cid:durableId="1773553678">
    <w:abstractNumId w:val="257"/>
  </w:num>
  <w:num w:numId="7" w16cid:durableId="276252373">
    <w:abstractNumId w:val="261"/>
  </w:num>
  <w:num w:numId="8" w16cid:durableId="983394919">
    <w:abstractNumId w:val="79"/>
  </w:num>
  <w:num w:numId="9" w16cid:durableId="1679387399">
    <w:abstractNumId w:val="179"/>
  </w:num>
  <w:num w:numId="10" w16cid:durableId="1949658435">
    <w:abstractNumId w:val="136"/>
  </w:num>
  <w:num w:numId="11" w16cid:durableId="1843347627">
    <w:abstractNumId w:val="266"/>
  </w:num>
  <w:num w:numId="12" w16cid:durableId="1279798976">
    <w:abstractNumId w:val="114"/>
  </w:num>
  <w:num w:numId="13" w16cid:durableId="476383533">
    <w:abstractNumId w:val="161"/>
  </w:num>
  <w:num w:numId="14" w16cid:durableId="1218278876">
    <w:abstractNumId w:val="98"/>
  </w:num>
  <w:num w:numId="15" w16cid:durableId="1726369751">
    <w:abstractNumId w:val="170"/>
  </w:num>
  <w:num w:numId="16" w16cid:durableId="2102678037">
    <w:abstractNumId w:val="262"/>
  </w:num>
  <w:num w:numId="17" w16cid:durableId="257950814">
    <w:abstractNumId w:val="120"/>
  </w:num>
  <w:num w:numId="18" w16cid:durableId="537162039">
    <w:abstractNumId w:val="143"/>
  </w:num>
  <w:num w:numId="19" w16cid:durableId="1946229560">
    <w:abstractNumId w:val="53"/>
  </w:num>
  <w:num w:numId="20" w16cid:durableId="411119855">
    <w:abstractNumId w:val="255"/>
  </w:num>
  <w:num w:numId="21" w16cid:durableId="1901672184">
    <w:abstractNumId w:val="44"/>
  </w:num>
  <w:num w:numId="22" w16cid:durableId="1613046659">
    <w:abstractNumId w:val="63"/>
  </w:num>
  <w:num w:numId="23" w16cid:durableId="445542996">
    <w:abstractNumId w:val="86"/>
  </w:num>
  <w:num w:numId="24" w16cid:durableId="583612873">
    <w:abstractNumId w:val="211"/>
  </w:num>
  <w:num w:numId="25" w16cid:durableId="1664966132">
    <w:abstractNumId w:val="28"/>
  </w:num>
  <w:num w:numId="26" w16cid:durableId="1919632821">
    <w:abstractNumId w:val="89"/>
  </w:num>
  <w:num w:numId="27" w16cid:durableId="2001418711">
    <w:abstractNumId w:val="91"/>
  </w:num>
  <w:num w:numId="28" w16cid:durableId="393311747">
    <w:abstractNumId w:val="134"/>
  </w:num>
  <w:num w:numId="29" w16cid:durableId="1408502152">
    <w:abstractNumId w:val="71"/>
  </w:num>
  <w:num w:numId="30" w16cid:durableId="1508204041">
    <w:abstractNumId w:val="231"/>
  </w:num>
  <w:num w:numId="31" w16cid:durableId="1691839000">
    <w:abstractNumId w:val="167"/>
  </w:num>
  <w:num w:numId="32" w16cid:durableId="315767795">
    <w:abstractNumId w:val="275"/>
  </w:num>
  <w:num w:numId="33" w16cid:durableId="1382172475">
    <w:abstractNumId w:val="69"/>
  </w:num>
  <w:num w:numId="34" w16cid:durableId="646664683">
    <w:abstractNumId w:val="222"/>
  </w:num>
  <w:num w:numId="35" w16cid:durableId="751782295">
    <w:abstractNumId w:val="245"/>
  </w:num>
  <w:num w:numId="36" w16cid:durableId="760418604">
    <w:abstractNumId w:val="267"/>
  </w:num>
  <w:num w:numId="37" w16cid:durableId="254830110">
    <w:abstractNumId w:val="31"/>
  </w:num>
  <w:num w:numId="38" w16cid:durableId="2029987866">
    <w:abstractNumId w:val="194"/>
  </w:num>
  <w:num w:numId="39" w16cid:durableId="1301838589">
    <w:abstractNumId w:val="133"/>
  </w:num>
  <w:num w:numId="40" w16cid:durableId="1239175505">
    <w:abstractNumId w:val="55"/>
  </w:num>
  <w:num w:numId="41" w16cid:durableId="1943952163">
    <w:abstractNumId w:val="197"/>
  </w:num>
  <w:num w:numId="42" w16cid:durableId="2112509873">
    <w:abstractNumId w:val="84"/>
  </w:num>
  <w:num w:numId="43" w16cid:durableId="595479968">
    <w:abstractNumId w:val="273"/>
  </w:num>
  <w:num w:numId="44" w16cid:durableId="1130829165">
    <w:abstractNumId w:val="100"/>
  </w:num>
  <w:num w:numId="45" w16cid:durableId="1626109543">
    <w:abstractNumId w:val="233"/>
  </w:num>
  <w:num w:numId="46" w16cid:durableId="848568667">
    <w:abstractNumId w:val="80"/>
  </w:num>
  <w:num w:numId="47" w16cid:durableId="458718852">
    <w:abstractNumId w:val="190"/>
  </w:num>
  <w:num w:numId="48" w16cid:durableId="1894077043">
    <w:abstractNumId w:val="214"/>
  </w:num>
  <w:num w:numId="49" w16cid:durableId="288171378">
    <w:abstractNumId w:val="165"/>
  </w:num>
  <w:num w:numId="50" w16cid:durableId="1901820014">
    <w:abstractNumId w:val="171"/>
  </w:num>
  <w:num w:numId="51" w16cid:durableId="943195479">
    <w:abstractNumId w:val="228"/>
  </w:num>
  <w:num w:numId="52" w16cid:durableId="658772523">
    <w:abstractNumId w:val="83"/>
  </w:num>
  <w:num w:numId="53" w16cid:durableId="1706365335">
    <w:abstractNumId w:val="150"/>
  </w:num>
  <w:num w:numId="54" w16cid:durableId="392506004">
    <w:abstractNumId w:val="260"/>
  </w:num>
  <w:num w:numId="55" w16cid:durableId="815217678">
    <w:abstractNumId w:val="141"/>
  </w:num>
  <w:num w:numId="56" w16cid:durableId="2127969919">
    <w:abstractNumId w:val="88"/>
  </w:num>
  <w:num w:numId="57" w16cid:durableId="1746102920">
    <w:abstractNumId w:val="207"/>
  </w:num>
  <w:num w:numId="58" w16cid:durableId="1397051325">
    <w:abstractNumId w:val="107"/>
  </w:num>
  <w:num w:numId="59" w16cid:durableId="361366080">
    <w:abstractNumId w:val="166"/>
  </w:num>
  <w:num w:numId="60" w16cid:durableId="1315719363">
    <w:abstractNumId w:val="285"/>
  </w:num>
  <w:num w:numId="61" w16cid:durableId="508445108">
    <w:abstractNumId w:val="67"/>
  </w:num>
  <w:num w:numId="62" w16cid:durableId="449322549">
    <w:abstractNumId w:val="234"/>
  </w:num>
  <w:num w:numId="63" w16cid:durableId="1001199634">
    <w:abstractNumId w:val="36"/>
  </w:num>
  <w:num w:numId="64" w16cid:durableId="1580864663">
    <w:abstractNumId w:val="105"/>
  </w:num>
  <w:num w:numId="65" w16cid:durableId="1039284525">
    <w:abstractNumId w:val="64"/>
  </w:num>
  <w:num w:numId="66" w16cid:durableId="737097250">
    <w:abstractNumId w:val="95"/>
  </w:num>
  <w:num w:numId="67" w16cid:durableId="836505291">
    <w:abstractNumId w:val="239"/>
  </w:num>
  <w:num w:numId="68" w16cid:durableId="1051534611">
    <w:abstractNumId w:val="129"/>
  </w:num>
  <w:num w:numId="69" w16cid:durableId="1673294149">
    <w:abstractNumId w:val="66"/>
  </w:num>
  <w:num w:numId="70" w16cid:durableId="1752124164">
    <w:abstractNumId w:val="109"/>
  </w:num>
  <w:num w:numId="71" w16cid:durableId="256136357">
    <w:abstractNumId w:val="81"/>
  </w:num>
  <w:num w:numId="72" w16cid:durableId="1186940222">
    <w:abstractNumId w:val="62"/>
  </w:num>
  <w:num w:numId="73" w16cid:durableId="752311843">
    <w:abstractNumId w:val="116"/>
  </w:num>
  <w:num w:numId="74" w16cid:durableId="1392314536">
    <w:abstractNumId w:val="113"/>
  </w:num>
  <w:num w:numId="75" w16cid:durableId="2114668323">
    <w:abstractNumId w:val="185"/>
  </w:num>
  <w:num w:numId="76" w16cid:durableId="980037057">
    <w:abstractNumId w:val="155"/>
  </w:num>
  <w:num w:numId="77" w16cid:durableId="543911368">
    <w:abstractNumId w:val="287"/>
  </w:num>
  <w:num w:numId="78" w16cid:durableId="1934974485">
    <w:abstractNumId w:val="259"/>
  </w:num>
  <w:num w:numId="79" w16cid:durableId="2094550655">
    <w:abstractNumId w:val="47"/>
  </w:num>
  <w:num w:numId="80" w16cid:durableId="1743867499">
    <w:abstractNumId w:val="90"/>
  </w:num>
  <w:num w:numId="81" w16cid:durableId="1693066455">
    <w:abstractNumId w:val="103"/>
  </w:num>
  <w:num w:numId="82" w16cid:durableId="238487570">
    <w:abstractNumId w:val="274"/>
  </w:num>
  <w:num w:numId="83" w16cid:durableId="692612633">
    <w:abstractNumId w:val="186"/>
  </w:num>
  <w:num w:numId="84" w16cid:durableId="1234126636">
    <w:abstractNumId w:val="258"/>
  </w:num>
  <w:num w:numId="85" w16cid:durableId="110705062">
    <w:abstractNumId w:val="278"/>
  </w:num>
  <w:num w:numId="86" w16cid:durableId="1046106573">
    <w:abstractNumId w:val="229"/>
  </w:num>
  <w:num w:numId="87" w16cid:durableId="925306128">
    <w:abstractNumId w:val="286"/>
  </w:num>
  <w:num w:numId="88" w16cid:durableId="525099203">
    <w:abstractNumId w:val="159"/>
  </w:num>
  <w:num w:numId="89" w16cid:durableId="1685744644">
    <w:abstractNumId w:val="230"/>
  </w:num>
  <w:num w:numId="90" w16cid:durableId="1694452758">
    <w:abstractNumId w:val="125"/>
  </w:num>
  <w:num w:numId="91" w16cid:durableId="482114805">
    <w:abstractNumId w:val="115"/>
  </w:num>
  <w:num w:numId="92" w16cid:durableId="2000619850">
    <w:abstractNumId w:val="236"/>
  </w:num>
  <w:num w:numId="93" w16cid:durableId="1807896098">
    <w:abstractNumId w:val="33"/>
  </w:num>
  <w:num w:numId="94" w16cid:durableId="2017148521">
    <w:abstractNumId w:val="138"/>
  </w:num>
  <w:num w:numId="95" w16cid:durableId="594749948">
    <w:abstractNumId w:val="265"/>
  </w:num>
  <w:num w:numId="96" w16cid:durableId="2098358429">
    <w:abstractNumId w:val="248"/>
  </w:num>
  <w:num w:numId="97" w16cid:durableId="648754924">
    <w:abstractNumId w:val="93"/>
  </w:num>
  <w:num w:numId="98" w16cid:durableId="241959779">
    <w:abstractNumId w:val="174"/>
  </w:num>
  <w:num w:numId="99" w16cid:durableId="2133936525">
    <w:abstractNumId w:val="205"/>
  </w:num>
  <w:num w:numId="100" w16cid:durableId="529301225">
    <w:abstractNumId w:val="263"/>
  </w:num>
  <w:num w:numId="101" w16cid:durableId="1173836875">
    <w:abstractNumId w:val="271"/>
  </w:num>
  <w:num w:numId="102" w16cid:durableId="780759791">
    <w:abstractNumId w:val="58"/>
  </w:num>
  <w:num w:numId="103" w16cid:durableId="1474827509">
    <w:abstractNumId w:val="45"/>
  </w:num>
  <w:num w:numId="104" w16cid:durableId="1531648226">
    <w:abstractNumId w:val="87"/>
  </w:num>
  <w:num w:numId="105" w16cid:durableId="2028946572">
    <w:abstractNumId w:val="146"/>
  </w:num>
  <w:num w:numId="106" w16cid:durableId="2080009170">
    <w:abstractNumId w:val="232"/>
  </w:num>
  <w:num w:numId="107" w16cid:durableId="503594831">
    <w:abstractNumId w:val="46"/>
  </w:num>
  <w:num w:numId="108" w16cid:durableId="1834643514">
    <w:abstractNumId w:val="238"/>
  </w:num>
  <w:num w:numId="109" w16cid:durableId="2065985347">
    <w:abstractNumId w:val="154"/>
  </w:num>
  <w:num w:numId="110" w16cid:durableId="2065370735">
    <w:abstractNumId w:val="106"/>
  </w:num>
  <w:num w:numId="111" w16cid:durableId="946811482">
    <w:abstractNumId w:val="279"/>
  </w:num>
  <w:num w:numId="112" w16cid:durableId="993795510">
    <w:abstractNumId w:val="198"/>
  </w:num>
  <w:num w:numId="113" w16cid:durableId="1013534051">
    <w:abstractNumId w:val="25"/>
  </w:num>
  <w:num w:numId="114" w16cid:durableId="551162025">
    <w:abstractNumId w:val="99"/>
  </w:num>
  <w:num w:numId="115" w16cid:durableId="291836467">
    <w:abstractNumId w:val="182"/>
  </w:num>
  <w:num w:numId="116" w16cid:durableId="1985427878">
    <w:abstractNumId w:val="192"/>
  </w:num>
  <w:num w:numId="117" w16cid:durableId="196236174">
    <w:abstractNumId w:val="199"/>
  </w:num>
  <w:num w:numId="118" w16cid:durableId="1125731053">
    <w:abstractNumId w:val="156"/>
  </w:num>
  <w:num w:numId="119" w16cid:durableId="1674070912">
    <w:abstractNumId w:val="127"/>
  </w:num>
  <w:num w:numId="120" w16cid:durableId="1406805720">
    <w:abstractNumId w:val="122"/>
  </w:num>
  <w:num w:numId="121" w16cid:durableId="1109467048">
    <w:abstractNumId w:val="242"/>
  </w:num>
  <w:num w:numId="122" w16cid:durableId="1005598710">
    <w:abstractNumId w:val="246"/>
  </w:num>
  <w:num w:numId="123" w16cid:durableId="1796826844">
    <w:abstractNumId w:val="82"/>
  </w:num>
  <w:num w:numId="124" w16cid:durableId="505902030">
    <w:abstractNumId w:val="175"/>
  </w:num>
  <w:num w:numId="125" w16cid:durableId="2009089948">
    <w:abstractNumId w:val="272"/>
  </w:num>
  <w:num w:numId="126" w16cid:durableId="1419594710">
    <w:abstractNumId w:val="219"/>
  </w:num>
  <w:num w:numId="127" w16cid:durableId="8026481">
    <w:abstractNumId w:val="92"/>
  </w:num>
  <w:num w:numId="128" w16cid:durableId="225607535">
    <w:abstractNumId w:val="164"/>
  </w:num>
  <w:num w:numId="129" w16cid:durableId="606816941">
    <w:abstractNumId w:val="121"/>
  </w:num>
  <w:num w:numId="130" w16cid:durableId="494223824">
    <w:abstractNumId w:val="73"/>
  </w:num>
  <w:num w:numId="131" w16cid:durableId="898443716">
    <w:abstractNumId w:val="39"/>
  </w:num>
  <w:num w:numId="132" w16cid:durableId="1603416027">
    <w:abstractNumId w:val="180"/>
  </w:num>
  <w:num w:numId="133" w16cid:durableId="471017902">
    <w:abstractNumId w:val="110"/>
  </w:num>
  <w:num w:numId="134" w16cid:durableId="1777364990">
    <w:abstractNumId w:val="168"/>
  </w:num>
  <w:num w:numId="135" w16cid:durableId="618267606">
    <w:abstractNumId w:val="144"/>
  </w:num>
  <w:num w:numId="136" w16cid:durableId="1214384333">
    <w:abstractNumId w:val="203"/>
  </w:num>
  <w:num w:numId="137" w16cid:durableId="75787386">
    <w:abstractNumId w:val="202"/>
  </w:num>
  <w:num w:numId="138" w16cid:durableId="807824357">
    <w:abstractNumId w:val="195"/>
  </w:num>
  <w:num w:numId="139" w16cid:durableId="1234702674">
    <w:abstractNumId w:val="269"/>
  </w:num>
  <w:num w:numId="140" w16cid:durableId="341323198">
    <w:abstractNumId w:val="34"/>
  </w:num>
  <w:num w:numId="141" w16cid:durableId="1998607528">
    <w:abstractNumId w:val="75"/>
  </w:num>
  <w:num w:numId="142" w16cid:durableId="1981767606">
    <w:abstractNumId w:val="280"/>
  </w:num>
  <w:num w:numId="143" w16cid:durableId="177886414">
    <w:abstractNumId w:val="65"/>
  </w:num>
  <w:num w:numId="144" w16cid:durableId="172260123">
    <w:abstractNumId w:val="148"/>
  </w:num>
  <w:num w:numId="145" w16cid:durableId="533883502">
    <w:abstractNumId w:val="72"/>
  </w:num>
  <w:num w:numId="146" w16cid:durableId="754402730">
    <w:abstractNumId w:val="158"/>
  </w:num>
  <w:num w:numId="147" w16cid:durableId="836460632">
    <w:abstractNumId w:val="213"/>
  </w:num>
  <w:num w:numId="148" w16cid:durableId="429739337">
    <w:abstractNumId w:val="206"/>
  </w:num>
  <w:num w:numId="149" w16cid:durableId="230845528">
    <w:abstractNumId w:val="97"/>
  </w:num>
  <w:num w:numId="150" w16cid:durableId="7950631">
    <w:abstractNumId w:val="169"/>
  </w:num>
  <w:num w:numId="151" w16cid:durableId="1415009269">
    <w:abstractNumId w:val="130"/>
  </w:num>
  <w:num w:numId="152" w16cid:durableId="1412700389">
    <w:abstractNumId w:val="126"/>
  </w:num>
  <w:num w:numId="153" w16cid:durableId="1371565986">
    <w:abstractNumId w:val="183"/>
  </w:num>
  <w:num w:numId="154" w16cid:durableId="1236816184">
    <w:abstractNumId w:val="252"/>
  </w:num>
  <w:num w:numId="155" w16cid:durableId="1820728883">
    <w:abstractNumId w:val="56"/>
  </w:num>
  <w:num w:numId="156" w16cid:durableId="1058018458">
    <w:abstractNumId w:val="201"/>
  </w:num>
  <w:num w:numId="157" w16cid:durableId="1488207924">
    <w:abstractNumId w:val="68"/>
  </w:num>
  <w:num w:numId="158" w16cid:durableId="1621230580">
    <w:abstractNumId w:val="176"/>
  </w:num>
  <w:num w:numId="159" w16cid:durableId="1422992686">
    <w:abstractNumId w:val="243"/>
  </w:num>
  <w:num w:numId="160" w16cid:durableId="627248389">
    <w:abstractNumId w:val="187"/>
  </w:num>
  <w:num w:numId="161" w16cid:durableId="531264289">
    <w:abstractNumId w:val="118"/>
  </w:num>
  <w:num w:numId="162" w16cid:durableId="75909266">
    <w:abstractNumId w:val="48"/>
  </w:num>
  <w:num w:numId="163" w16cid:durableId="425930357">
    <w:abstractNumId w:val="160"/>
  </w:num>
  <w:num w:numId="164" w16cid:durableId="134833383">
    <w:abstractNumId w:val="38"/>
  </w:num>
  <w:num w:numId="165" w16cid:durableId="1612932018">
    <w:abstractNumId w:val="132"/>
  </w:num>
  <w:num w:numId="166" w16cid:durableId="133375977">
    <w:abstractNumId w:val="241"/>
  </w:num>
  <w:num w:numId="167" w16cid:durableId="1955363888">
    <w:abstractNumId w:val="221"/>
  </w:num>
  <w:num w:numId="168" w16cid:durableId="1126851232">
    <w:abstractNumId w:val="78"/>
  </w:num>
  <w:num w:numId="169" w16cid:durableId="2025403441">
    <w:abstractNumId w:val="251"/>
  </w:num>
  <w:num w:numId="170" w16cid:durableId="1200967810">
    <w:abstractNumId w:val="256"/>
  </w:num>
  <w:num w:numId="171" w16cid:durableId="1372149224">
    <w:abstractNumId w:val="226"/>
  </w:num>
  <w:num w:numId="172" w16cid:durableId="572394568">
    <w:abstractNumId w:val="218"/>
  </w:num>
  <w:num w:numId="173" w16cid:durableId="871457488">
    <w:abstractNumId w:val="177"/>
  </w:num>
  <w:num w:numId="174" w16cid:durableId="1838840396">
    <w:abstractNumId w:val="51"/>
  </w:num>
  <w:num w:numId="175" w16cid:durableId="2121223514">
    <w:abstractNumId w:val="57"/>
  </w:num>
  <w:num w:numId="176" w16cid:durableId="1104762913">
    <w:abstractNumId w:val="142"/>
  </w:num>
  <w:num w:numId="177" w16cid:durableId="147669386">
    <w:abstractNumId w:val="102"/>
  </w:num>
  <w:num w:numId="178" w16cid:durableId="1672026544">
    <w:abstractNumId w:val="284"/>
  </w:num>
  <w:num w:numId="179" w16cid:durableId="1519926448">
    <w:abstractNumId w:val="277"/>
  </w:num>
  <w:num w:numId="180" w16cid:durableId="936058833">
    <w:abstractNumId w:val="235"/>
  </w:num>
  <w:num w:numId="181" w16cid:durableId="1884173327">
    <w:abstractNumId w:val="215"/>
  </w:num>
  <w:num w:numId="182" w16cid:durableId="1685282967">
    <w:abstractNumId w:val="196"/>
  </w:num>
  <w:num w:numId="183" w16cid:durableId="373190987">
    <w:abstractNumId w:val="217"/>
  </w:num>
  <w:num w:numId="184" w16cid:durableId="199364011">
    <w:abstractNumId w:val="52"/>
  </w:num>
  <w:num w:numId="185" w16cid:durableId="114838481">
    <w:abstractNumId w:val="54"/>
  </w:num>
  <w:num w:numId="186" w16cid:durableId="176161191">
    <w:abstractNumId w:val="193"/>
  </w:num>
  <w:num w:numId="187" w16cid:durableId="1759643084">
    <w:abstractNumId w:val="60"/>
  </w:num>
  <w:num w:numId="188" w16cid:durableId="1392386941">
    <w:abstractNumId w:val="29"/>
  </w:num>
  <w:num w:numId="189" w16cid:durableId="826476267">
    <w:abstractNumId w:val="124"/>
  </w:num>
  <w:num w:numId="190" w16cid:durableId="1878659703">
    <w:abstractNumId w:val="59"/>
  </w:num>
  <w:num w:numId="191" w16cid:durableId="1969893604">
    <w:abstractNumId w:val="101"/>
  </w:num>
  <w:num w:numId="192" w16cid:durableId="2131588109">
    <w:abstractNumId w:val="220"/>
  </w:num>
  <w:num w:numId="193" w16cid:durableId="373583434">
    <w:abstractNumId w:val="237"/>
  </w:num>
  <w:num w:numId="194" w16cid:durableId="782576671">
    <w:abstractNumId w:val="247"/>
  </w:num>
  <w:num w:numId="195" w16cid:durableId="827523359">
    <w:abstractNumId w:val="178"/>
  </w:num>
  <w:num w:numId="196" w16cid:durableId="2096971073">
    <w:abstractNumId w:val="208"/>
  </w:num>
  <w:num w:numId="197" w16cid:durableId="1616982105">
    <w:abstractNumId w:val="123"/>
  </w:num>
  <w:num w:numId="198" w16cid:durableId="1683436788">
    <w:abstractNumId w:val="270"/>
  </w:num>
  <w:num w:numId="199" w16cid:durableId="607548827">
    <w:abstractNumId w:val="104"/>
  </w:num>
  <w:num w:numId="200" w16cid:durableId="190344624">
    <w:abstractNumId w:val="42"/>
  </w:num>
  <w:num w:numId="201" w16cid:durableId="529294883">
    <w:abstractNumId w:val="210"/>
  </w:num>
  <w:num w:numId="202" w16cid:durableId="865097744">
    <w:abstractNumId w:val="77"/>
  </w:num>
  <w:num w:numId="203" w16cid:durableId="180634028">
    <w:abstractNumId w:val="140"/>
  </w:num>
  <w:num w:numId="204" w16cid:durableId="1441949288">
    <w:abstractNumId w:val="85"/>
  </w:num>
  <w:num w:numId="205" w16cid:durableId="1263539048">
    <w:abstractNumId w:val="189"/>
  </w:num>
  <w:num w:numId="206" w16cid:durableId="1456362101">
    <w:abstractNumId w:val="147"/>
  </w:num>
  <w:num w:numId="207" w16cid:durableId="2082435837">
    <w:abstractNumId w:val="70"/>
  </w:num>
  <w:num w:numId="208" w16cid:durableId="798718521">
    <w:abstractNumId w:val="117"/>
  </w:num>
  <w:num w:numId="209" w16cid:durableId="132724278">
    <w:abstractNumId w:val="137"/>
  </w:num>
  <w:num w:numId="210" w16cid:durableId="318577241">
    <w:abstractNumId w:val="268"/>
  </w:num>
  <w:num w:numId="211" w16cid:durableId="547494536">
    <w:abstractNumId w:val="250"/>
  </w:num>
  <w:num w:numId="212" w16cid:durableId="1118064438">
    <w:abstractNumId w:val="74"/>
  </w:num>
  <w:num w:numId="213" w16cid:durableId="605816767">
    <w:abstractNumId w:val="35"/>
  </w:num>
  <w:num w:numId="214" w16cid:durableId="1152721403">
    <w:abstractNumId w:val="227"/>
  </w:num>
  <w:num w:numId="215" w16cid:durableId="1767849537">
    <w:abstractNumId w:val="32"/>
  </w:num>
  <w:num w:numId="216" w16cid:durableId="982462685">
    <w:abstractNumId w:val="283"/>
  </w:num>
  <w:num w:numId="217" w16cid:durableId="1935018137">
    <w:abstractNumId w:val="188"/>
  </w:num>
  <w:num w:numId="218" w16cid:durableId="1339842099">
    <w:abstractNumId w:val="281"/>
  </w:num>
  <w:num w:numId="219" w16cid:durableId="2001543508">
    <w:abstractNumId w:val="61"/>
  </w:num>
  <w:num w:numId="220" w16cid:durableId="714307296">
    <w:abstractNumId w:val="173"/>
  </w:num>
  <w:num w:numId="221" w16cid:durableId="1257447530">
    <w:abstractNumId w:val="157"/>
  </w:num>
  <w:num w:numId="222" w16cid:durableId="244073841">
    <w:abstractNumId w:val="151"/>
  </w:num>
  <w:num w:numId="223" w16cid:durableId="1800563671">
    <w:abstractNumId w:val="139"/>
  </w:num>
  <w:num w:numId="224" w16cid:durableId="804737975">
    <w:abstractNumId w:val="200"/>
  </w:num>
  <w:num w:numId="225" w16cid:durableId="1803956346">
    <w:abstractNumId w:val="216"/>
  </w:num>
  <w:num w:numId="226" w16cid:durableId="2138527654">
    <w:abstractNumId w:val="254"/>
  </w:num>
  <w:num w:numId="227" w16cid:durableId="1477869342">
    <w:abstractNumId w:val="163"/>
  </w:num>
  <w:num w:numId="228" w16cid:durableId="1574658522">
    <w:abstractNumId w:val="41"/>
  </w:num>
  <w:num w:numId="229" w16cid:durableId="1748378909">
    <w:abstractNumId w:val="128"/>
  </w:num>
  <w:num w:numId="230" w16cid:durableId="67961875">
    <w:abstractNumId w:val="49"/>
  </w:num>
  <w:num w:numId="231" w16cid:durableId="668563394">
    <w:abstractNumId w:val="50"/>
  </w:num>
  <w:num w:numId="232" w16cid:durableId="1545604463">
    <w:abstractNumId w:val="131"/>
  </w:num>
  <w:num w:numId="233" w16cid:durableId="1127427008">
    <w:abstractNumId w:val="0"/>
  </w:num>
  <w:num w:numId="234" w16cid:durableId="597107251">
    <w:abstractNumId w:val="1"/>
  </w:num>
  <w:num w:numId="235" w16cid:durableId="1179464612">
    <w:abstractNumId w:val="2"/>
  </w:num>
  <w:num w:numId="236" w16cid:durableId="1688018653">
    <w:abstractNumId w:val="3"/>
  </w:num>
  <w:num w:numId="237" w16cid:durableId="690839591">
    <w:abstractNumId w:val="4"/>
  </w:num>
  <w:num w:numId="238" w16cid:durableId="1918704542">
    <w:abstractNumId w:val="5"/>
  </w:num>
  <w:num w:numId="239" w16cid:durableId="880820404">
    <w:abstractNumId w:val="6"/>
  </w:num>
  <w:num w:numId="240" w16cid:durableId="1753820940">
    <w:abstractNumId w:val="7"/>
  </w:num>
  <w:num w:numId="241" w16cid:durableId="403913734">
    <w:abstractNumId w:val="8"/>
  </w:num>
  <w:num w:numId="242" w16cid:durableId="2055890471">
    <w:abstractNumId w:val="9"/>
  </w:num>
  <w:num w:numId="243" w16cid:durableId="1095250996">
    <w:abstractNumId w:val="10"/>
  </w:num>
  <w:num w:numId="244" w16cid:durableId="1909921525">
    <w:abstractNumId w:val="11"/>
  </w:num>
  <w:num w:numId="245" w16cid:durableId="1717075775">
    <w:abstractNumId w:val="12"/>
  </w:num>
  <w:num w:numId="246" w16cid:durableId="1986808835">
    <w:abstractNumId w:val="13"/>
  </w:num>
  <w:num w:numId="247" w16cid:durableId="1698896260">
    <w:abstractNumId w:val="14"/>
  </w:num>
  <w:num w:numId="248" w16cid:durableId="447430006">
    <w:abstractNumId w:val="15"/>
  </w:num>
  <w:num w:numId="249" w16cid:durableId="679888910">
    <w:abstractNumId w:val="16"/>
  </w:num>
  <w:num w:numId="250" w16cid:durableId="2057122972">
    <w:abstractNumId w:val="17"/>
  </w:num>
  <w:num w:numId="251" w16cid:durableId="98382313">
    <w:abstractNumId w:val="18"/>
  </w:num>
  <w:num w:numId="252" w16cid:durableId="21244922">
    <w:abstractNumId w:val="19"/>
  </w:num>
  <w:num w:numId="253" w16cid:durableId="1400134958">
    <w:abstractNumId w:val="20"/>
  </w:num>
  <w:num w:numId="254" w16cid:durableId="2094156780">
    <w:abstractNumId w:val="21"/>
  </w:num>
  <w:num w:numId="255" w16cid:durableId="1671130427">
    <w:abstractNumId w:val="22"/>
  </w:num>
  <w:num w:numId="256" w16cid:durableId="1105464000">
    <w:abstractNumId w:val="23"/>
  </w:num>
  <w:num w:numId="257" w16cid:durableId="308631583">
    <w:abstractNumId w:val="24"/>
  </w:num>
  <w:num w:numId="258" w16cid:durableId="1657808013">
    <w:abstractNumId w:val="225"/>
  </w:num>
  <w:num w:numId="259" w16cid:durableId="2049867590">
    <w:abstractNumId w:val="240"/>
  </w:num>
  <w:num w:numId="260" w16cid:durableId="1156149718">
    <w:abstractNumId w:val="40"/>
  </w:num>
  <w:num w:numId="261" w16cid:durableId="1719430867">
    <w:abstractNumId w:val="27"/>
  </w:num>
  <w:num w:numId="262" w16cid:durableId="1937979773">
    <w:abstractNumId w:val="244"/>
  </w:num>
  <w:num w:numId="263" w16cid:durableId="102039692">
    <w:abstractNumId w:val="108"/>
  </w:num>
  <w:num w:numId="264" w16cid:durableId="1740207195">
    <w:abstractNumId w:val="149"/>
  </w:num>
  <w:num w:numId="265" w16cid:durableId="782963089">
    <w:abstractNumId w:val="162"/>
  </w:num>
  <w:num w:numId="266" w16cid:durableId="1298493257">
    <w:abstractNumId w:val="43"/>
  </w:num>
  <w:num w:numId="267" w16cid:durableId="1699970715">
    <w:abstractNumId w:val="37"/>
  </w:num>
  <w:num w:numId="268" w16cid:durableId="746193482">
    <w:abstractNumId w:val="223"/>
  </w:num>
  <w:num w:numId="269" w16cid:durableId="2074039337">
    <w:abstractNumId w:val="264"/>
  </w:num>
  <w:num w:numId="270" w16cid:durableId="1221093494">
    <w:abstractNumId w:val="224"/>
  </w:num>
  <w:num w:numId="271" w16cid:durableId="2110272790">
    <w:abstractNumId w:val="184"/>
  </w:num>
  <w:num w:numId="272" w16cid:durableId="233471833">
    <w:abstractNumId w:val="209"/>
  </w:num>
  <w:num w:numId="273" w16cid:durableId="772556851">
    <w:abstractNumId w:val="181"/>
  </w:num>
  <w:num w:numId="274" w16cid:durableId="439227105">
    <w:abstractNumId w:val="96"/>
  </w:num>
  <w:num w:numId="275" w16cid:durableId="499858987">
    <w:abstractNumId w:val="253"/>
  </w:num>
  <w:num w:numId="276" w16cid:durableId="1926448988">
    <w:abstractNumId w:val="111"/>
  </w:num>
  <w:num w:numId="277" w16cid:durableId="454325384">
    <w:abstractNumId w:val="212"/>
  </w:num>
  <w:num w:numId="278" w16cid:durableId="2038920651">
    <w:abstractNumId w:val="153"/>
  </w:num>
  <w:num w:numId="279" w16cid:durableId="1557623045">
    <w:abstractNumId w:val="112"/>
  </w:num>
  <w:num w:numId="280" w16cid:durableId="857162967">
    <w:abstractNumId w:val="119"/>
  </w:num>
  <w:num w:numId="281" w16cid:durableId="1153571492">
    <w:abstractNumId w:val="152"/>
  </w:num>
  <w:num w:numId="282" w16cid:durableId="1423138453">
    <w:abstractNumId w:val="249"/>
  </w:num>
  <w:num w:numId="283" w16cid:durableId="1528177519">
    <w:abstractNumId w:val="204"/>
  </w:num>
  <w:num w:numId="284" w16cid:durableId="1868829312">
    <w:abstractNumId w:val="26"/>
  </w:num>
  <w:num w:numId="285" w16cid:durableId="1666205157">
    <w:abstractNumId w:val="276"/>
  </w:num>
  <w:num w:numId="286" w16cid:durableId="186873922">
    <w:abstractNumId w:val="76"/>
  </w:num>
  <w:num w:numId="287" w16cid:durableId="1471942582">
    <w:abstractNumId w:val="191"/>
  </w:num>
  <w:num w:numId="288" w16cid:durableId="663583880">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28"/>
    <w:rsid w:val="00027F3E"/>
    <w:rsid w:val="00043FB6"/>
    <w:rsid w:val="00053FB4"/>
    <w:rsid w:val="00067E98"/>
    <w:rsid w:val="00085552"/>
    <w:rsid w:val="0008777F"/>
    <w:rsid w:val="00090DE5"/>
    <w:rsid w:val="000D7F3B"/>
    <w:rsid w:val="000E59EA"/>
    <w:rsid w:val="000F2A1B"/>
    <w:rsid w:val="00100854"/>
    <w:rsid w:val="00101A5B"/>
    <w:rsid w:val="00103531"/>
    <w:rsid w:val="001246BD"/>
    <w:rsid w:val="00145B45"/>
    <w:rsid w:val="0015050A"/>
    <w:rsid w:val="00150E6D"/>
    <w:rsid w:val="001576D9"/>
    <w:rsid w:val="00157D6E"/>
    <w:rsid w:val="00160306"/>
    <w:rsid w:val="001674C2"/>
    <w:rsid w:val="0018042F"/>
    <w:rsid w:val="001965F6"/>
    <w:rsid w:val="001C071F"/>
    <w:rsid w:val="001C1C93"/>
    <w:rsid w:val="001C4EFE"/>
    <w:rsid w:val="001D21CA"/>
    <w:rsid w:val="001E4E81"/>
    <w:rsid w:val="001F721F"/>
    <w:rsid w:val="002208B6"/>
    <w:rsid w:val="00240EE2"/>
    <w:rsid w:val="00245B5A"/>
    <w:rsid w:val="00265769"/>
    <w:rsid w:val="00270148"/>
    <w:rsid w:val="00277BD0"/>
    <w:rsid w:val="002C2773"/>
    <w:rsid w:val="002D111C"/>
    <w:rsid w:val="002E4A8E"/>
    <w:rsid w:val="0030272B"/>
    <w:rsid w:val="00320AD3"/>
    <w:rsid w:val="00326F8E"/>
    <w:rsid w:val="00343668"/>
    <w:rsid w:val="003628A6"/>
    <w:rsid w:val="00367CE5"/>
    <w:rsid w:val="00380D25"/>
    <w:rsid w:val="003C0622"/>
    <w:rsid w:val="003F2156"/>
    <w:rsid w:val="00404C8B"/>
    <w:rsid w:val="0040737D"/>
    <w:rsid w:val="0041668A"/>
    <w:rsid w:val="004E012F"/>
    <w:rsid w:val="004F58D6"/>
    <w:rsid w:val="00527F25"/>
    <w:rsid w:val="00563443"/>
    <w:rsid w:val="00575648"/>
    <w:rsid w:val="005D64D2"/>
    <w:rsid w:val="005F2E40"/>
    <w:rsid w:val="006150AB"/>
    <w:rsid w:val="00633F0A"/>
    <w:rsid w:val="00651E30"/>
    <w:rsid w:val="00663888"/>
    <w:rsid w:val="00665EB6"/>
    <w:rsid w:val="006672CC"/>
    <w:rsid w:val="006702F9"/>
    <w:rsid w:val="006765A9"/>
    <w:rsid w:val="006A514D"/>
    <w:rsid w:val="006C0DC4"/>
    <w:rsid w:val="006C7D75"/>
    <w:rsid w:val="006F3CA6"/>
    <w:rsid w:val="007073DD"/>
    <w:rsid w:val="00741B93"/>
    <w:rsid w:val="00762D13"/>
    <w:rsid w:val="007804B9"/>
    <w:rsid w:val="00786FE1"/>
    <w:rsid w:val="007B18B3"/>
    <w:rsid w:val="007C50FD"/>
    <w:rsid w:val="007D6ADA"/>
    <w:rsid w:val="00800169"/>
    <w:rsid w:val="00812DD5"/>
    <w:rsid w:val="008514A3"/>
    <w:rsid w:val="008608BE"/>
    <w:rsid w:val="00866C70"/>
    <w:rsid w:val="0087169F"/>
    <w:rsid w:val="008B664B"/>
    <w:rsid w:val="008C0FA1"/>
    <w:rsid w:val="008C37D8"/>
    <w:rsid w:val="008C7770"/>
    <w:rsid w:val="0090273F"/>
    <w:rsid w:val="00903F7F"/>
    <w:rsid w:val="00905344"/>
    <w:rsid w:val="009176A2"/>
    <w:rsid w:val="00926921"/>
    <w:rsid w:val="00927C72"/>
    <w:rsid w:val="009674EB"/>
    <w:rsid w:val="009739EF"/>
    <w:rsid w:val="00991F28"/>
    <w:rsid w:val="009B6F8B"/>
    <w:rsid w:val="009C027C"/>
    <w:rsid w:val="009C71E8"/>
    <w:rsid w:val="009D0598"/>
    <w:rsid w:val="00A15536"/>
    <w:rsid w:val="00A46190"/>
    <w:rsid w:val="00A5644E"/>
    <w:rsid w:val="00A75EDD"/>
    <w:rsid w:val="00AA3B26"/>
    <w:rsid w:val="00AE109C"/>
    <w:rsid w:val="00AF3028"/>
    <w:rsid w:val="00B062EF"/>
    <w:rsid w:val="00BE1940"/>
    <w:rsid w:val="00BF2C77"/>
    <w:rsid w:val="00C0049D"/>
    <w:rsid w:val="00C172C8"/>
    <w:rsid w:val="00C4550D"/>
    <w:rsid w:val="00C46571"/>
    <w:rsid w:val="00C522FE"/>
    <w:rsid w:val="00C55F7D"/>
    <w:rsid w:val="00C826A8"/>
    <w:rsid w:val="00C87B44"/>
    <w:rsid w:val="00C97CB5"/>
    <w:rsid w:val="00CA5EB4"/>
    <w:rsid w:val="00CD5E5C"/>
    <w:rsid w:val="00CE077F"/>
    <w:rsid w:val="00CF0AEE"/>
    <w:rsid w:val="00CF511C"/>
    <w:rsid w:val="00D44B2F"/>
    <w:rsid w:val="00D45006"/>
    <w:rsid w:val="00D53F6E"/>
    <w:rsid w:val="00D56430"/>
    <w:rsid w:val="00D86324"/>
    <w:rsid w:val="00DB7F93"/>
    <w:rsid w:val="00DD3AD3"/>
    <w:rsid w:val="00DE2995"/>
    <w:rsid w:val="00DE67FC"/>
    <w:rsid w:val="00DF0D41"/>
    <w:rsid w:val="00DF3381"/>
    <w:rsid w:val="00E30638"/>
    <w:rsid w:val="00E44624"/>
    <w:rsid w:val="00E462E2"/>
    <w:rsid w:val="00E47666"/>
    <w:rsid w:val="00E5438E"/>
    <w:rsid w:val="00EB3F02"/>
    <w:rsid w:val="00F12B11"/>
    <w:rsid w:val="00F42349"/>
    <w:rsid w:val="00F42908"/>
    <w:rsid w:val="00F65F1A"/>
    <w:rsid w:val="00F9732C"/>
    <w:rsid w:val="00FA4233"/>
    <w:rsid w:val="00FD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A22C5"/>
  <w14:defaultImageDpi w14:val="32767"/>
  <w15:chartTrackingRefBased/>
  <w15:docId w15:val="{3B75079B-CE65-4D42-9350-2D40D053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F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F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F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F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F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F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F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F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F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F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F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F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F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F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F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F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F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F28"/>
    <w:rPr>
      <w:rFonts w:eastAsiaTheme="majorEastAsia" w:cstheme="majorBidi"/>
      <w:color w:val="272727" w:themeColor="text1" w:themeTint="D8"/>
    </w:rPr>
  </w:style>
  <w:style w:type="paragraph" w:styleId="Title">
    <w:name w:val="Title"/>
    <w:basedOn w:val="Normal"/>
    <w:next w:val="Normal"/>
    <w:link w:val="TitleChar"/>
    <w:uiPriority w:val="10"/>
    <w:qFormat/>
    <w:rsid w:val="00991F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F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F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F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F28"/>
    <w:pPr>
      <w:spacing w:before="160"/>
      <w:jc w:val="center"/>
    </w:pPr>
    <w:rPr>
      <w:i/>
      <w:iCs/>
      <w:color w:val="404040" w:themeColor="text1" w:themeTint="BF"/>
    </w:rPr>
  </w:style>
  <w:style w:type="character" w:customStyle="1" w:styleId="QuoteChar">
    <w:name w:val="Quote Char"/>
    <w:basedOn w:val="DefaultParagraphFont"/>
    <w:link w:val="Quote"/>
    <w:uiPriority w:val="29"/>
    <w:rsid w:val="00991F28"/>
    <w:rPr>
      <w:i/>
      <w:iCs/>
      <w:color w:val="404040" w:themeColor="text1" w:themeTint="BF"/>
    </w:rPr>
  </w:style>
  <w:style w:type="paragraph" w:styleId="ListParagraph">
    <w:name w:val="List Paragraph"/>
    <w:basedOn w:val="Normal"/>
    <w:uiPriority w:val="34"/>
    <w:qFormat/>
    <w:rsid w:val="00991F28"/>
    <w:pPr>
      <w:ind w:left="720"/>
      <w:contextualSpacing/>
    </w:pPr>
  </w:style>
  <w:style w:type="character" w:styleId="IntenseEmphasis">
    <w:name w:val="Intense Emphasis"/>
    <w:basedOn w:val="DefaultParagraphFont"/>
    <w:uiPriority w:val="21"/>
    <w:qFormat/>
    <w:rsid w:val="00991F28"/>
    <w:rPr>
      <w:i/>
      <w:iCs/>
      <w:color w:val="0F4761" w:themeColor="accent1" w:themeShade="BF"/>
    </w:rPr>
  </w:style>
  <w:style w:type="paragraph" w:styleId="IntenseQuote">
    <w:name w:val="Intense Quote"/>
    <w:basedOn w:val="Normal"/>
    <w:next w:val="Normal"/>
    <w:link w:val="IntenseQuoteChar"/>
    <w:uiPriority w:val="30"/>
    <w:qFormat/>
    <w:rsid w:val="00991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F28"/>
    <w:rPr>
      <w:i/>
      <w:iCs/>
      <w:color w:val="0F4761" w:themeColor="accent1" w:themeShade="BF"/>
    </w:rPr>
  </w:style>
  <w:style w:type="character" w:styleId="IntenseReference">
    <w:name w:val="Intense Reference"/>
    <w:basedOn w:val="DefaultParagraphFont"/>
    <w:uiPriority w:val="32"/>
    <w:qFormat/>
    <w:rsid w:val="00991F2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1591</TotalTime>
  <Pages>294</Pages>
  <Words>88942</Words>
  <Characters>506971</Characters>
  <Application>Microsoft Office Word</Application>
  <DocSecurity>0</DocSecurity>
  <Lines>4224</Lines>
  <Paragraphs>1189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71</cp:revision>
  <dcterms:created xsi:type="dcterms:W3CDTF">2026-01-26T01:34:00Z</dcterms:created>
  <dcterms:modified xsi:type="dcterms:W3CDTF">2026-04-20T01:33:00Z</dcterms:modified>
</cp:coreProperties>
</file>